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CB2AC">
      <w:pPr>
        <w:jc w:val="center"/>
        <w:rPr>
          <w:rFonts w:hint="eastAsia"/>
          <w:b/>
          <w:bCs/>
          <w:color w:val="auto"/>
          <w:sz w:val="28"/>
          <w:szCs w:val="32"/>
          <w:highlight w:val="none"/>
        </w:rPr>
      </w:pPr>
      <w:r>
        <w:rPr>
          <w:rFonts w:hint="eastAsia"/>
          <w:b/>
          <w:bCs/>
          <w:color w:val="auto"/>
          <w:sz w:val="28"/>
          <w:szCs w:val="32"/>
          <w:highlight w:val="none"/>
          <w:lang w:val="en-US" w:eastAsia="zh-CN"/>
        </w:rPr>
        <w:t>广东省近岸渔业资源调查项目采购</w:t>
      </w:r>
      <w:r>
        <w:rPr>
          <w:rFonts w:hint="eastAsia"/>
          <w:b/>
          <w:bCs/>
          <w:color w:val="auto"/>
          <w:sz w:val="28"/>
          <w:szCs w:val="32"/>
          <w:highlight w:val="none"/>
        </w:rPr>
        <w:t>需求</w:t>
      </w:r>
    </w:p>
    <w:p w14:paraId="61644152">
      <w:pPr>
        <w:pStyle w:val="3"/>
        <w:pageBreakBefore w:val="0"/>
        <w:widowControl w:val="0"/>
        <w:kinsoku/>
        <w:wordWrap/>
        <w:overflowPunct/>
        <w:topLinePunct w:val="0"/>
        <w:autoSpaceDE/>
        <w:autoSpaceDN/>
        <w:bidi w:val="0"/>
        <w:adjustRightInd/>
        <w:snapToGrid/>
        <w:spacing w:after="120" w:line="36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一、</w:t>
      </w:r>
      <w:r>
        <w:rPr>
          <w:rFonts w:hint="eastAsia" w:ascii="宋体" w:hAnsi="宋体" w:eastAsia="宋体" w:cs="宋体"/>
          <w:color w:val="auto"/>
          <w:sz w:val="28"/>
          <w:szCs w:val="28"/>
          <w:highlight w:val="none"/>
        </w:rPr>
        <w:t>项目概况</w:t>
      </w:r>
    </w:p>
    <w:p w14:paraId="6893DC7D">
      <w:pPr>
        <w:spacing w:line="360" w:lineRule="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（一）供应商须对本项目以采购包为单位的采购标的进行整体响应，任何只对以采购包为单位的采购标的其中一部分内容、数量进行的响应都被视为无效响应。</w:t>
      </w:r>
    </w:p>
    <w:p w14:paraId="05A53A98">
      <w:pPr>
        <w:spacing w:line="360" w:lineRule="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（二）建设内容：促进渔业资源调查养护和国际履约能力提升。</w:t>
      </w:r>
    </w:p>
    <w:p w14:paraId="45C52514">
      <w:pPr>
        <w:spacing w:line="360" w:lineRule="auto"/>
        <w:outlineLvl w:val="9"/>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（三）绩效目标：完成广东省近岸海域渔业资源调查站位数130个。</w:t>
      </w:r>
    </w:p>
    <w:p w14:paraId="548C58BF">
      <w:pPr>
        <w:spacing w:line="360" w:lineRule="auto"/>
        <w:outlineLvl w:val="9"/>
        <w:rPr>
          <w:rFonts w:hint="eastAsia" w:ascii="宋体" w:hAnsi="宋体" w:eastAsia="宋体" w:cs="宋体"/>
          <w:color w:val="auto"/>
          <w:sz w:val="24"/>
          <w:szCs w:val="28"/>
          <w:highlight w:val="none"/>
          <w:lang w:val="en-US" w:eastAsia="zh-CN"/>
        </w:rPr>
      </w:pPr>
    </w:p>
    <w:p w14:paraId="28CDF378">
      <w:pPr>
        <w:spacing w:line="360" w:lineRule="auto"/>
        <w:outlineLvl w:val="9"/>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lang w:val="en-US" w:eastAsia="zh-CN"/>
        </w:rPr>
        <w:t>采购</w:t>
      </w:r>
      <w:r>
        <w:rPr>
          <w:rFonts w:hint="eastAsia" w:ascii="宋体" w:hAnsi="宋体" w:eastAsia="宋体" w:cs="宋体"/>
          <w:color w:val="auto"/>
          <w:sz w:val="24"/>
          <w:szCs w:val="28"/>
          <w:highlight w:val="none"/>
        </w:rPr>
        <w:t>包1（</w:t>
      </w:r>
      <w:r>
        <w:rPr>
          <w:rFonts w:hint="eastAsia" w:ascii="宋体" w:hAnsi="宋体" w:eastAsia="宋体" w:cs="宋体"/>
          <w:color w:val="auto"/>
          <w:sz w:val="24"/>
          <w:szCs w:val="28"/>
          <w:highlight w:val="none"/>
          <w:lang w:eastAsia="zh-CN"/>
        </w:rPr>
        <w:t>广东省近岸渔业资源调查</w:t>
      </w:r>
      <w:r>
        <w:rPr>
          <w:rFonts w:hint="eastAsia" w:ascii="宋体" w:hAnsi="宋体" w:eastAsia="宋体" w:cs="宋体"/>
          <w:color w:val="auto"/>
          <w:sz w:val="24"/>
          <w:szCs w:val="28"/>
          <w:highlight w:val="none"/>
        </w:rPr>
        <w:t>）</w:t>
      </w:r>
    </w:p>
    <w:p w14:paraId="19FA93E7">
      <w:pPr>
        <w:spacing w:line="360" w:lineRule="auto"/>
        <w:outlineLvl w:val="1"/>
        <w:rPr>
          <w:rFonts w:hint="eastAsia" w:ascii="宋体" w:hAnsi="宋体" w:eastAsia="宋体" w:cs="宋体"/>
          <w:b/>
          <w:bCs/>
          <w:color w:val="auto"/>
          <w:sz w:val="24"/>
          <w:szCs w:val="28"/>
          <w:highlight w:val="none"/>
        </w:rPr>
      </w:pPr>
      <w:bookmarkStart w:id="0" w:name="_Toc552"/>
      <w:r>
        <w:rPr>
          <w:rFonts w:hint="eastAsia" w:ascii="宋体" w:hAnsi="宋体" w:eastAsia="宋体" w:cs="宋体"/>
          <w:b/>
          <w:bCs/>
          <w:color w:val="auto"/>
          <w:sz w:val="24"/>
          <w:szCs w:val="28"/>
          <w:highlight w:val="none"/>
        </w:rPr>
        <w:t>1.主要商务要求</w:t>
      </w:r>
      <w:bookmarkEnd w:id="0"/>
    </w:p>
    <w:tbl>
      <w:tblPr>
        <w:tblStyle w:val="6"/>
        <w:tblW w:w="9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7"/>
        <w:gridCol w:w="8063"/>
      </w:tblGrid>
      <w:tr w14:paraId="663FD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897" w:type="dxa"/>
            <w:vAlign w:val="center"/>
          </w:tcPr>
          <w:p w14:paraId="1C0F8278">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标的提供的时间</w:t>
            </w:r>
          </w:p>
        </w:tc>
        <w:tc>
          <w:tcPr>
            <w:tcW w:w="8063" w:type="dxa"/>
            <w:vAlign w:val="center"/>
          </w:tcPr>
          <w:p w14:paraId="073DB830">
            <w:pPr>
              <w:numPr>
                <w:ilvl w:val="0"/>
                <w:numId w:val="0"/>
              </w:numPr>
              <w:autoSpaceDE w:val="0"/>
              <w:autoSpaceDN w:val="0"/>
              <w:adjustRightIn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（1）完成期限：项目合同签订后12个月。</w:t>
            </w:r>
          </w:p>
          <w:p w14:paraId="0C2918C7">
            <w:pPr>
              <w:numPr>
                <w:ilvl w:val="0"/>
                <w:numId w:val="0"/>
              </w:numPr>
              <w:autoSpaceDE w:val="0"/>
              <w:autoSpaceDN w:val="0"/>
              <w:adjustRightIn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u w:val="none"/>
                <w:lang w:val="en-US" w:eastAsia="zh-CN"/>
              </w:rPr>
              <w:t>项目进度安排：本项目要求在项目合同签订后第2月-第3月完成第一季调查，项目合同签订后第7月-第9月完成第二季调查，项目合同签订后第10月-第12月完成调查报告和数据库，召开专家评审验收会，提交终稿成果。</w:t>
            </w:r>
          </w:p>
        </w:tc>
      </w:tr>
      <w:tr w14:paraId="6F29D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23CFF1B6">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标的提供的地点</w:t>
            </w:r>
          </w:p>
        </w:tc>
        <w:tc>
          <w:tcPr>
            <w:tcW w:w="8063" w:type="dxa"/>
            <w:vAlign w:val="top"/>
          </w:tcPr>
          <w:p w14:paraId="32A59173">
            <w:pPr>
              <w:autoSpaceDE w:val="0"/>
              <w:autoSpaceDN w:val="0"/>
              <w:adjustRightIn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南海区机动渔船底拖网禁渔区线内侧广东省海域</w:t>
            </w:r>
          </w:p>
        </w:tc>
      </w:tr>
      <w:tr w14:paraId="7D68B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5D706F24">
            <w:pPr>
              <w:autoSpaceDE w:val="0"/>
              <w:autoSpaceDN w:val="0"/>
              <w:adjustRightInd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付款方式</w:t>
            </w:r>
          </w:p>
        </w:tc>
        <w:tc>
          <w:tcPr>
            <w:tcW w:w="8063" w:type="dxa"/>
            <w:vAlign w:val="top"/>
          </w:tcPr>
          <w:p w14:paraId="02BAEB8D">
            <w:pPr>
              <w:autoSpaceDE w:val="0"/>
              <w:autoSpaceDN w:val="0"/>
              <w:adjustRightIn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第1期为（预付款）</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支付比例</w:t>
            </w:r>
            <w:r>
              <w:rPr>
                <w:rFonts w:hint="eastAsia" w:ascii="宋体" w:hAnsi="宋体" w:eastAsia="宋体" w:cs="宋体"/>
                <w:color w:val="auto"/>
                <w:kern w:val="0"/>
                <w:sz w:val="24"/>
                <w:szCs w:val="24"/>
                <w:highlight w:val="none"/>
                <w:u w:val="single"/>
                <w:lang w:val="en-US" w:eastAsia="zh-CN"/>
              </w:rPr>
              <w:t>90%</w:t>
            </w:r>
            <w:r>
              <w:rPr>
                <w:rFonts w:hint="eastAsia" w:ascii="宋体" w:hAnsi="宋体" w:eastAsia="宋体" w:cs="宋体"/>
                <w:color w:val="auto"/>
                <w:kern w:val="0"/>
                <w:sz w:val="24"/>
                <w:szCs w:val="24"/>
                <w:highlight w:val="none"/>
                <w:lang w:val="en-US" w:eastAsia="zh-CN"/>
              </w:rPr>
              <w:t>，双方签订合同后，在收到成交供应商开具的等额发票后的</w:t>
            </w:r>
            <w:r>
              <w:rPr>
                <w:rFonts w:hint="eastAsia" w:ascii="宋体" w:hAnsi="宋体" w:eastAsia="宋体" w:cs="宋体"/>
                <w:color w:val="auto"/>
                <w:kern w:val="0"/>
                <w:sz w:val="24"/>
                <w:szCs w:val="24"/>
                <w:highlight w:val="none"/>
              </w:rPr>
              <w:t>10个工作日内</w:t>
            </w:r>
            <w:r>
              <w:rPr>
                <w:rFonts w:hint="eastAsia" w:ascii="宋体" w:hAnsi="宋体" w:eastAsia="宋体" w:cs="宋体"/>
                <w:color w:val="auto"/>
                <w:kern w:val="0"/>
                <w:sz w:val="24"/>
                <w:szCs w:val="24"/>
                <w:highlight w:val="none"/>
                <w:lang w:val="en-US" w:eastAsia="zh-CN"/>
              </w:rPr>
              <w:t>，采购人向成交供应商支付合同款的90%。</w:t>
            </w:r>
          </w:p>
          <w:p w14:paraId="07A82C9A">
            <w:pPr>
              <w:autoSpaceDE w:val="0"/>
              <w:autoSpaceDN w:val="0"/>
              <w:adjustRightIn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cs="宋体"/>
                <w:color w:val="auto"/>
                <w:kern w:val="0"/>
                <w:sz w:val="24"/>
                <w:szCs w:val="24"/>
                <w:highlight w:val="none"/>
              </w:rPr>
              <w:t>第2期为（尾款）</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en-US" w:eastAsia="zh-CN"/>
              </w:rPr>
              <w:t>支付比例</w:t>
            </w:r>
            <w:r>
              <w:rPr>
                <w:rFonts w:hint="eastAsia" w:ascii="宋体" w:hAnsi="宋体" w:eastAsia="宋体" w:cs="宋体"/>
                <w:color w:val="auto"/>
                <w:kern w:val="0"/>
                <w:sz w:val="24"/>
                <w:szCs w:val="24"/>
                <w:highlight w:val="none"/>
                <w:u w:val="single"/>
                <w:lang w:val="en-US" w:eastAsia="zh-CN"/>
              </w:rPr>
              <w:t>10%</w:t>
            </w:r>
            <w:r>
              <w:rPr>
                <w:rFonts w:hint="eastAsia" w:ascii="宋体" w:hAnsi="宋体" w:eastAsia="宋体" w:cs="宋体"/>
                <w:color w:val="auto"/>
                <w:kern w:val="0"/>
                <w:sz w:val="24"/>
                <w:szCs w:val="24"/>
                <w:highlight w:val="none"/>
                <w:lang w:val="en-US" w:eastAsia="zh-CN"/>
              </w:rPr>
              <w:t>，完成调查且通过采购人验收后，在收到成交供应商开具的等额发票后的</w:t>
            </w:r>
            <w:r>
              <w:rPr>
                <w:rFonts w:hint="eastAsia" w:ascii="宋体" w:hAnsi="宋体" w:eastAsia="宋体" w:cs="宋体"/>
                <w:color w:val="auto"/>
                <w:kern w:val="0"/>
                <w:sz w:val="24"/>
                <w:szCs w:val="24"/>
                <w:highlight w:val="none"/>
              </w:rPr>
              <w:t>10个工作日内</w:t>
            </w:r>
            <w:r>
              <w:rPr>
                <w:rFonts w:hint="eastAsia" w:ascii="宋体" w:hAnsi="宋体" w:eastAsia="宋体" w:cs="宋体"/>
                <w:color w:val="auto"/>
                <w:kern w:val="0"/>
                <w:sz w:val="24"/>
                <w:szCs w:val="24"/>
                <w:highlight w:val="none"/>
                <w:lang w:val="en-US" w:eastAsia="zh-CN"/>
              </w:rPr>
              <w:t>，采购人向成交供应商支付合同款的10%。</w:t>
            </w:r>
          </w:p>
        </w:tc>
      </w:tr>
      <w:tr w14:paraId="40D9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3A588292">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验收要求</w:t>
            </w:r>
          </w:p>
        </w:tc>
        <w:tc>
          <w:tcPr>
            <w:tcW w:w="8063" w:type="dxa"/>
            <w:vAlign w:val="top"/>
          </w:tcPr>
          <w:p w14:paraId="48CD82DA">
            <w:pPr>
              <w:autoSpaceDE w:val="0"/>
              <w:autoSpaceDN w:val="0"/>
              <w:adjustRightInd w:val="0"/>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1期：</w:t>
            </w:r>
            <w:r>
              <w:rPr>
                <w:rFonts w:hint="eastAsia" w:ascii="宋体" w:hAnsi="宋体" w:eastAsia="宋体" w:cs="宋体"/>
                <w:color w:val="auto"/>
                <w:kern w:val="0"/>
                <w:sz w:val="24"/>
                <w:szCs w:val="24"/>
                <w:highlight w:val="none"/>
                <w:lang w:val="en-US" w:eastAsia="zh-CN"/>
              </w:rPr>
              <w:t>由采购人组织第三方独立机构对项目实施进行全过程监理，成交供应商需按采购人的招标技术及时间要求，完成相应工作成果并全部提交后，采购人将进行项目验收。</w:t>
            </w:r>
          </w:p>
        </w:tc>
      </w:tr>
      <w:tr w14:paraId="4D81B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675566F0">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履约保证金</w:t>
            </w:r>
          </w:p>
        </w:tc>
        <w:tc>
          <w:tcPr>
            <w:tcW w:w="8063" w:type="dxa"/>
            <w:vAlign w:val="top"/>
          </w:tcPr>
          <w:p w14:paraId="1B573142">
            <w:pPr>
              <w:pStyle w:val="4"/>
              <w:numPr>
                <w:ilvl w:val="0"/>
                <w:numId w:val="0"/>
              </w:numPr>
              <w:spacing w:line="360" w:lineRule="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不收取</w:t>
            </w:r>
          </w:p>
        </w:tc>
      </w:tr>
      <w:tr w14:paraId="62E79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7" w:type="dxa"/>
            <w:vAlign w:val="center"/>
          </w:tcPr>
          <w:p w14:paraId="17A522ED">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其他</w:t>
            </w:r>
          </w:p>
        </w:tc>
        <w:tc>
          <w:tcPr>
            <w:tcW w:w="8063" w:type="dxa"/>
            <w:vAlign w:val="top"/>
          </w:tcPr>
          <w:p w14:paraId="0ABB9703">
            <w:pPr>
              <w:numPr>
                <w:ilvl w:val="0"/>
                <w:numId w:val="0"/>
              </w:numPr>
              <w:spacing w:line="360" w:lineRule="auto"/>
              <w:ind w:leftChars="0"/>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tc>
      </w:tr>
    </w:tbl>
    <w:p w14:paraId="0E0456F1">
      <w:pPr>
        <w:rPr>
          <w:rFonts w:hint="eastAsia" w:ascii="宋体" w:hAnsi="宋体" w:eastAsia="宋体" w:cs="宋体"/>
          <w:color w:val="auto"/>
          <w:highlight w:val="none"/>
        </w:rPr>
      </w:pPr>
    </w:p>
    <w:p w14:paraId="488FB282">
      <w:pPr>
        <w:spacing w:line="360" w:lineRule="auto"/>
        <w:outlineLvl w:val="1"/>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2.技术标准与要求</w:t>
      </w:r>
    </w:p>
    <w:tbl>
      <w:tblPr>
        <w:tblStyle w:val="6"/>
        <w:tblW w:w="9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5"/>
        <w:gridCol w:w="1226"/>
        <w:gridCol w:w="960"/>
        <w:gridCol w:w="975"/>
        <w:gridCol w:w="783"/>
        <w:gridCol w:w="807"/>
        <w:gridCol w:w="1395"/>
        <w:gridCol w:w="1380"/>
        <w:gridCol w:w="1001"/>
        <w:gridCol w:w="938"/>
      </w:tblGrid>
      <w:tr w14:paraId="0B2CA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0C7BE0A0">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1226" w:type="dxa"/>
            <w:vAlign w:val="center"/>
          </w:tcPr>
          <w:p w14:paraId="2188F570">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核心产品要求（“△”）</w:t>
            </w:r>
          </w:p>
        </w:tc>
        <w:tc>
          <w:tcPr>
            <w:tcW w:w="960" w:type="dxa"/>
            <w:vAlign w:val="center"/>
          </w:tcPr>
          <w:p w14:paraId="678A956D">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品目名称</w:t>
            </w:r>
          </w:p>
        </w:tc>
        <w:tc>
          <w:tcPr>
            <w:tcW w:w="975" w:type="dxa"/>
            <w:vAlign w:val="center"/>
          </w:tcPr>
          <w:p w14:paraId="5354C174">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标的名称</w:t>
            </w:r>
          </w:p>
        </w:tc>
        <w:tc>
          <w:tcPr>
            <w:tcW w:w="783" w:type="dxa"/>
            <w:vAlign w:val="center"/>
          </w:tcPr>
          <w:p w14:paraId="6954876E">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单位</w:t>
            </w:r>
          </w:p>
        </w:tc>
        <w:tc>
          <w:tcPr>
            <w:tcW w:w="807" w:type="dxa"/>
            <w:vAlign w:val="center"/>
          </w:tcPr>
          <w:p w14:paraId="685B58E7">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数量</w:t>
            </w:r>
          </w:p>
        </w:tc>
        <w:tc>
          <w:tcPr>
            <w:tcW w:w="1395" w:type="dxa"/>
            <w:vAlign w:val="center"/>
          </w:tcPr>
          <w:p w14:paraId="7A970B80">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分项预算单价（元）</w:t>
            </w:r>
          </w:p>
        </w:tc>
        <w:tc>
          <w:tcPr>
            <w:tcW w:w="1380" w:type="dxa"/>
            <w:vAlign w:val="center"/>
          </w:tcPr>
          <w:p w14:paraId="0AA16ECE">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分项预算总价（元）</w:t>
            </w:r>
          </w:p>
        </w:tc>
        <w:tc>
          <w:tcPr>
            <w:tcW w:w="1001" w:type="dxa"/>
            <w:vAlign w:val="center"/>
          </w:tcPr>
          <w:p w14:paraId="5A29CCCF">
            <w:pPr>
              <w:autoSpaceDE w:val="0"/>
              <w:autoSpaceDN w:val="0"/>
              <w:spacing w:line="360" w:lineRule="auto"/>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所属行业</w:t>
            </w:r>
          </w:p>
        </w:tc>
        <w:tc>
          <w:tcPr>
            <w:tcW w:w="938" w:type="dxa"/>
            <w:vAlign w:val="center"/>
          </w:tcPr>
          <w:p w14:paraId="6E53DA0B">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技术要求</w:t>
            </w:r>
          </w:p>
        </w:tc>
      </w:tr>
      <w:tr w14:paraId="6BE1F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dxa"/>
            <w:vAlign w:val="center"/>
          </w:tcPr>
          <w:p w14:paraId="3BDB9947">
            <w:pPr>
              <w:autoSpaceDE w:val="0"/>
              <w:autoSpaceDN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1226" w:type="dxa"/>
            <w:vAlign w:val="center"/>
          </w:tcPr>
          <w:p w14:paraId="4DC5AB7A">
            <w:pPr>
              <w:autoSpaceDE w:val="0"/>
              <w:autoSpaceDN w:val="0"/>
              <w:spacing w:line="360" w:lineRule="auto"/>
              <w:jc w:val="center"/>
              <w:rPr>
                <w:rFonts w:hint="eastAsia" w:ascii="宋体" w:hAnsi="宋体" w:eastAsia="宋体" w:cs="宋体"/>
                <w:color w:val="auto"/>
                <w:kern w:val="0"/>
                <w:sz w:val="24"/>
                <w:highlight w:val="none"/>
              </w:rPr>
            </w:pPr>
          </w:p>
        </w:tc>
        <w:tc>
          <w:tcPr>
            <w:tcW w:w="960" w:type="dxa"/>
            <w:vAlign w:val="center"/>
          </w:tcPr>
          <w:p w14:paraId="38BD8818">
            <w:pPr>
              <w:autoSpaceDE w:val="0"/>
              <w:autoSpaceDN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lang w:val="en-US" w:eastAsia="zh-CN"/>
              </w:rPr>
              <w:t>水产学研究服务</w:t>
            </w:r>
          </w:p>
        </w:tc>
        <w:tc>
          <w:tcPr>
            <w:tcW w:w="975" w:type="dxa"/>
            <w:vAlign w:val="center"/>
          </w:tcPr>
          <w:p w14:paraId="16A74A68">
            <w:pPr>
              <w:autoSpaceDE w:val="0"/>
              <w:autoSpaceDN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广东省近岸渔业资源调查</w:t>
            </w:r>
          </w:p>
        </w:tc>
        <w:tc>
          <w:tcPr>
            <w:tcW w:w="783" w:type="dxa"/>
            <w:vAlign w:val="center"/>
          </w:tcPr>
          <w:p w14:paraId="008740C3">
            <w:pPr>
              <w:autoSpaceDE w:val="0"/>
              <w:autoSpaceDN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项</w:t>
            </w:r>
          </w:p>
        </w:tc>
        <w:tc>
          <w:tcPr>
            <w:tcW w:w="807" w:type="dxa"/>
            <w:vAlign w:val="center"/>
          </w:tcPr>
          <w:p w14:paraId="4A40988E">
            <w:pPr>
              <w:autoSpaceDE w:val="0"/>
              <w:autoSpaceDN w:val="0"/>
              <w:spacing w:line="360" w:lineRule="auto"/>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1.00</w:t>
            </w:r>
          </w:p>
        </w:tc>
        <w:tc>
          <w:tcPr>
            <w:tcW w:w="1395" w:type="dxa"/>
            <w:vAlign w:val="center"/>
          </w:tcPr>
          <w:p w14:paraId="75A04B1D">
            <w:pPr>
              <w:autoSpaceDE w:val="0"/>
              <w:autoSpaceDN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3,050,000.00</w:t>
            </w:r>
          </w:p>
        </w:tc>
        <w:tc>
          <w:tcPr>
            <w:tcW w:w="1380" w:type="dxa"/>
            <w:vAlign w:val="center"/>
          </w:tcPr>
          <w:p w14:paraId="5D12BFDA">
            <w:pPr>
              <w:autoSpaceDE w:val="0"/>
              <w:autoSpaceDN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3,050,000.00</w:t>
            </w:r>
          </w:p>
        </w:tc>
        <w:tc>
          <w:tcPr>
            <w:tcW w:w="1001" w:type="dxa"/>
            <w:vAlign w:val="center"/>
          </w:tcPr>
          <w:p w14:paraId="588FEE00">
            <w:pPr>
              <w:autoSpaceDE w:val="0"/>
              <w:autoSpaceDN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其他未列明行业</w:t>
            </w:r>
          </w:p>
        </w:tc>
        <w:tc>
          <w:tcPr>
            <w:tcW w:w="938" w:type="dxa"/>
            <w:vAlign w:val="center"/>
          </w:tcPr>
          <w:p w14:paraId="76EA7E4A">
            <w:pPr>
              <w:autoSpaceDE w:val="0"/>
              <w:autoSpaceDN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详见附表一</w:t>
            </w:r>
          </w:p>
        </w:tc>
      </w:tr>
    </w:tbl>
    <w:p w14:paraId="70192548">
      <w:pPr>
        <w:spacing w:line="360" w:lineRule="auto"/>
        <w:outlineLvl w:val="9"/>
        <w:rPr>
          <w:rFonts w:hint="eastAsia" w:ascii="宋体" w:hAnsi="宋体" w:eastAsia="宋体" w:cs="宋体"/>
          <w:b/>
          <w:bCs/>
          <w:color w:val="auto"/>
          <w:sz w:val="24"/>
          <w:szCs w:val="28"/>
          <w:highlight w:val="none"/>
        </w:rPr>
      </w:pPr>
      <w:r>
        <w:rPr>
          <w:rFonts w:hint="eastAsia" w:ascii="宋体" w:hAnsi="宋体" w:eastAsia="宋体" w:cs="宋体"/>
          <w:b/>
          <w:bCs/>
          <w:color w:val="auto"/>
          <w:sz w:val="24"/>
          <w:szCs w:val="28"/>
          <w:highlight w:val="none"/>
        </w:rPr>
        <w:t>附表一：</w:t>
      </w:r>
      <w:r>
        <w:rPr>
          <w:rFonts w:hint="eastAsia" w:ascii="宋体" w:hAnsi="宋体" w:eastAsia="宋体" w:cs="宋体"/>
          <w:b w:val="0"/>
          <w:bCs w:val="0"/>
          <w:color w:val="auto"/>
          <w:sz w:val="24"/>
          <w:szCs w:val="28"/>
          <w:highlight w:val="none"/>
        </w:rPr>
        <w:t>（</w:t>
      </w:r>
      <w:r>
        <w:rPr>
          <w:rFonts w:hint="eastAsia" w:ascii="宋体" w:hAnsi="宋体" w:eastAsia="宋体" w:cs="宋体"/>
          <w:b w:val="0"/>
          <w:bCs w:val="0"/>
          <w:color w:val="auto"/>
          <w:sz w:val="24"/>
          <w:szCs w:val="28"/>
          <w:highlight w:val="none"/>
          <w:lang w:eastAsia="zh-CN"/>
        </w:rPr>
        <w:t>广东省近岸渔业资源调查</w:t>
      </w:r>
      <w:r>
        <w:rPr>
          <w:rFonts w:hint="eastAsia" w:ascii="宋体" w:hAnsi="宋体" w:eastAsia="宋体" w:cs="宋体"/>
          <w:b w:val="0"/>
          <w:bCs w:val="0"/>
          <w:color w:val="auto"/>
          <w:sz w:val="24"/>
          <w:szCs w:val="28"/>
          <w:highlight w:val="none"/>
        </w:rPr>
        <w:t>）</w:t>
      </w:r>
    </w:p>
    <w:tbl>
      <w:tblPr>
        <w:tblStyle w:val="6"/>
        <w:tblW w:w="99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0"/>
        <w:gridCol w:w="734"/>
        <w:gridCol w:w="7960"/>
      </w:tblGrid>
      <w:tr w14:paraId="67514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6FB55A61">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参数性质</w:t>
            </w:r>
          </w:p>
        </w:tc>
        <w:tc>
          <w:tcPr>
            <w:tcW w:w="734" w:type="dxa"/>
            <w:vAlign w:val="center"/>
          </w:tcPr>
          <w:p w14:paraId="37D5CE60">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序号</w:t>
            </w:r>
          </w:p>
        </w:tc>
        <w:tc>
          <w:tcPr>
            <w:tcW w:w="7960" w:type="dxa"/>
            <w:vAlign w:val="center"/>
          </w:tcPr>
          <w:p w14:paraId="263A14DA">
            <w:pPr>
              <w:autoSpaceDE w:val="0"/>
              <w:autoSpaceDN w:val="0"/>
              <w:adjustRightInd w:val="0"/>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具体技术</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参数</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rPr>
              <w:t>要求</w:t>
            </w:r>
          </w:p>
        </w:tc>
      </w:tr>
      <w:tr w14:paraId="0169E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1589C29D">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34" w:type="dxa"/>
            <w:vAlign w:val="center"/>
          </w:tcPr>
          <w:p w14:paraId="531E36D4">
            <w:pPr>
              <w:pStyle w:val="8"/>
              <w:numPr>
                <w:ilvl w:val="0"/>
                <w:numId w:val="1"/>
              </w:numPr>
              <w:autoSpaceDE w:val="0"/>
              <w:autoSpaceDN w:val="0"/>
              <w:spacing w:line="360" w:lineRule="auto"/>
              <w:ind w:firstLineChars="0"/>
              <w:jc w:val="center"/>
              <w:rPr>
                <w:rFonts w:hint="eastAsia" w:ascii="宋体" w:hAnsi="宋体" w:eastAsia="宋体" w:cs="宋体"/>
                <w:color w:val="auto"/>
                <w:kern w:val="0"/>
                <w:sz w:val="24"/>
                <w:highlight w:val="none"/>
              </w:rPr>
            </w:pPr>
          </w:p>
        </w:tc>
        <w:tc>
          <w:tcPr>
            <w:tcW w:w="7960" w:type="dxa"/>
            <w:vAlign w:val="top"/>
          </w:tcPr>
          <w:p w14:paraId="4B9739F0">
            <w:pPr>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服务内容</w:t>
            </w:r>
          </w:p>
          <w:p w14:paraId="1C8036C4">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i w:val="0"/>
                <w:iCs w:val="0"/>
                <w:caps w:val="0"/>
                <w:color w:val="auto"/>
                <w:spacing w:val="0"/>
                <w:sz w:val="24"/>
                <w:szCs w:val="24"/>
                <w:highlight w:val="none"/>
                <w:shd w:val="clear" w:fill="FFFFFF"/>
              </w:rPr>
              <w:t>完成广东省近岸海域130个调查站位，2季度的水质和初级生产力、鱼卵仔鱼、游泳生物和贝类等资源现状调查；</w:t>
            </w:r>
          </w:p>
          <w:p w14:paraId="0C4D840E">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i w:val="0"/>
                <w:iCs w:val="0"/>
                <w:caps w:val="0"/>
                <w:color w:val="auto"/>
                <w:spacing w:val="0"/>
                <w:sz w:val="24"/>
                <w:szCs w:val="24"/>
                <w:highlight w:val="none"/>
                <w:shd w:val="clear" w:fill="FFFFFF"/>
              </w:rPr>
              <w:t>掌握广东省近岸海域渔业资源种类组成、数量分布、类群结构特征、生物学特征及其时空变化，及鱼卵仔鱼的种类组成、生物量组成和数量时空分布，进行鱼类产卵场分析；</w:t>
            </w:r>
          </w:p>
          <w:p w14:paraId="3D7698BB">
            <w:pPr>
              <w:spacing w:line="360" w:lineRule="auto"/>
              <w:jc w:val="both"/>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color w:val="auto"/>
                <w:sz w:val="24"/>
                <w:szCs w:val="24"/>
                <w:highlight w:val="none"/>
              </w:rPr>
              <w:t>3、</w:t>
            </w:r>
            <w:r>
              <w:rPr>
                <w:rFonts w:hint="eastAsia" w:ascii="宋体" w:hAnsi="宋体" w:eastAsia="宋体" w:cs="宋体"/>
                <w:i w:val="0"/>
                <w:iCs w:val="0"/>
                <w:caps w:val="0"/>
                <w:color w:val="auto"/>
                <w:spacing w:val="0"/>
                <w:sz w:val="24"/>
                <w:szCs w:val="24"/>
                <w:highlight w:val="none"/>
                <w:shd w:val="clear" w:fill="FFFFFF"/>
              </w:rPr>
              <w:t>评估广东省近岸渔业资源密度和渔业资源量及鱼类产卵场，建立广东省海洋渔业资源数据库；</w:t>
            </w:r>
          </w:p>
          <w:p w14:paraId="402A8764">
            <w:pPr>
              <w:spacing w:line="360" w:lineRule="auto"/>
              <w:jc w:val="both"/>
              <w:rPr>
                <w:rFonts w:hint="default"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4、对重点区域调查站点之间经过的水域进行声学数据采集；</w:t>
            </w:r>
          </w:p>
          <w:p w14:paraId="02A6F7E7">
            <w:pPr>
              <w:spacing w:line="360" w:lineRule="auto"/>
              <w:jc w:val="both"/>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5、调查广东省近岸渔业资源</w:t>
            </w:r>
            <w:r>
              <w:rPr>
                <w:rFonts w:hint="eastAsia" w:ascii="宋体" w:hAnsi="宋体" w:eastAsia="宋体" w:cs="宋体"/>
                <w:i w:val="0"/>
                <w:iCs w:val="0"/>
                <w:caps w:val="0"/>
                <w:color w:val="auto"/>
                <w:spacing w:val="0"/>
                <w:sz w:val="24"/>
                <w:szCs w:val="24"/>
                <w:highlight w:val="none"/>
                <w:shd w:val="clear" w:fill="FFFFFF"/>
              </w:rPr>
              <w:t>栖息环境包括温度、盐度、溶解氧、PH、无机盐等理化环境要素</w:t>
            </w:r>
            <w:r>
              <w:rPr>
                <w:rFonts w:hint="eastAsia" w:ascii="宋体" w:hAnsi="宋体" w:eastAsia="宋体" w:cs="宋体"/>
                <w:i w:val="0"/>
                <w:iCs w:val="0"/>
                <w:caps w:val="0"/>
                <w:color w:val="auto"/>
                <w:spacing w:val="0"/>
                <w:sz w:val="24"/>
                <w:szCs w:val="24"/>
                <w:highlight w:val="none"/>
                <w:shd w:val="clear" w:fill="FFFFFF"/>
                <w:lang w:eastAsia="zh-CN"/>
              </w:rPr>
              <w:t>，</w:t>
            </w:r>
            <w:r>
              <w:rPr>
                <w:rFonts w:hint="eastAsia" w:ascii="宋体" w:hAnsi="宋体" w:eastAsia="宋体" w:cs="宋体"/>
                <w:i w:val="0"/>
                <w:iCs w:val="0"/>
                <w:caps w:val="0"/>
                <w:color w:val="auto"/>
                <w:spacing w:val="0"/>
                <w:sz w:val="24"/>
                <w:szCs w:val="24"/>
                <w:highlight w:val="none"/>
                <w:shd w:val="clear" w:fill="FFFFFF"/>
              </w:rPr>
              <w:t>生物要素信息</w:t>
            </w:r>
            <w:r>
              <w:rPr>
                <w:rFonts w:hint="eastAsia" w:ascii="宋体" w:hAnsi="宋体" w:eastAsia="宋体" w:cs="宋体"/>
                <w:i w:val="0"/>
                <w:iCs w:val="0"/>
                <w:caps w:val="0"/>
                <w:color w:val="auto"/>
                <w:spacing w:val="0"/>
                <w:sz w:val="24"/>
                <w:szCs w:val="24"/>
                <w:highlight w:val="none"/>
                <w:shd w:val="clear" w:fill="FFFFFF"/>
                <w:lang w:val="en-US" w:eastAsia="zh-CN"/>
              </w:rPr>
              <w:t>包括</w:t>
            </w:r>
            <w:r>
              <w:rPr>
                <w:rFonts w:hint="eastAsia" w:ascii="宋体" w:hAnsi="宋体" w:eastAsia="宋体" w:cs="宋体"/>
                <w:i w:val="0"/>
                <w:iCs w:val="0"/>
                <w:caps w:val="0"/>
                <w:color w:val="auto"/>
                <w:spacing w:val="0"/>
                <w:sz w:val="24"/>
                <w:szCs w:val="24"/>
                <w:highlight w:val="none"/>
                <w:shd w:val="clear" w:fill="FFFFFF"/>
              </w:rPr>
              <w:t>叶绿素、浮游生物</w:t>
            </w:r>
            <w:r>
              <w:rPr>
                <w:rFonts w:hint="eastAsia" w:ascii="宋体" w:hAnsi="宋体" w:eastAsia="宋体" w:cs="宋体"/>
                <w:i w:val="0"/>
                <w:iCs w:val="0"/>
                <w:caps w:val="0"/>
                <w:color w:val="auto"/>
                <w:spacing w:val="0"/>
                <w:sz w:val="24"/>
                <w:szCs w:val="24"/>
                <w:highlight w:val="none"/>
                <w:shd w:val="clear" w:fill="FFFFFF"/>
                <w:lang w:val="en-US" w:eastAsia="zh-CN"/>
              </w:rPr>
              <w:t>的</w:t>
            </w:r>
            <w:r>
              <w:rPr>
                <w:rFonts w:hint="eastAsia" w:ascii="宋体" w:hAnsi="宋体" w:eastAsia="宋体" w:cs="宋体"/>
                <w:i w:val="0"/>
                <w:iCs w:val="0"/>
                <w:caps w:val="0"/>
                <w:color w:val="auto"/>
                <w:spacing w:val="0"/>
                <w:sz w:val="24"/>
                <w:szCs w:val="24"/>
                <w:highlight w:val="none"/>
                <w:shd w:val="clear" w:fill="FFFFFF"/>
              </w:rPr>
              <w:t>种类、密度，多样性等</w:t>
            </w:r>
            <w:r>
              <w:rPr>
                <w:rFonts w:hint="eastAsia" w:ascii="宋体" w:hAnsi="宋体" w:eastAsia="宋体" w:cs="宋体"/>
                <w:i w:val="0"/>
                <w:iCs w:val="0"/>
                <w:caps w:val="0"/>
                <w:color w:val="auto"/>
                <w:spacing w:val="0"/>
                <w:sz w:val="24"/>
                <w:szCs w:val="24"/>
                <w:highlight w:val="none"/>
                <w:shd w:val="clear" w:fill="FFFFFF"/>
                <w:lang w:eastAsia="zh-CN"/>
              </w:rPr>
              <w:t>；</w:t>
            </w:r>
          </w:p>
          <w:p w14:paraId="0F03158B">
            <w:pPr>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、完成并提交广东省近岸渔业资源调查报告。</w:t>
            </w:r>
          </w:p>
        </w:tc>
      </w:tr>
      <w:tr w14:paraId="32D25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1458E167">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34" w:type="dxa"/>
            <w:vAlign w:val="center"/>
          </w:tcPr>
          <w:p w14:paraId="0B552A0F">
            <w:pPr>
              <w:pStyle w:val="8"/>
              <w:numPr>
                <w:ilvl w:val="0"/>
                <w:numId w:val="1"/>
              </w:numPr>
              <w:autoSpaceDE w:val="0"/>
              <w:autoSpaceDN w:val="0"/>
              <w:spacing w:line="360" w:lineRule="auto"/>
              <w:ind w:firstLineChars="0"/>
              <w:jc w:val="center"/>
              <w:rPr>
                <w:rFonts w:hint="eastAsia" w:ascii="宋体" w:hAnsi="宋体" w:eastAsia="宋体" w:cs="宋体"/>
                <w:color w:val="auto"/>
                <w:kern w:val="0"/>
                <w:sz w:val="24"/>
                <w:highlight w:val="none"/>
              </w:rPr>
            </w:pPr>
          </w:p>
        </w:tc>
        <w:tc>
          <w:tcPr>
            <w:tcW w:w="7960" w:type="dxa"/>
            <w:vAlign w:val="top"/>
          </w:tcPr>
          <w:p w14:paraId="47B15D53">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、服务要求</w:t>
            </w:r>
          </w:p>
          <w:p w14:paraId="475DBCE3">
            <w:pPr>
              <w:spacing w:line="360" w:lineRule="auto"/>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1、调查严格按照《海洋调查规范》（GB/T 12763-2007）要求进行，满足采购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要求、通过采购</w:t>
            </w:r>
            <w:r>
              <w:rPr>
                <w:rFonts w:hint="eastAsia" w:ascii="宋体" w:hAnsi="宋体" w:eastAsia="宋体" w:cs="宋体"/>
                <w:color w:val="auto"/>
                <w:sz w:val="24"/>
                <w:szCs w:val="24"/>
                <w:highlight w:val="none"/>
                <w:lang w:val="en-US" w:eastAsia="zh-CN"/>
              </w:rPr>
              <w:t>人</w:t>
            </w:r>
            <w:r>
              <w:rPr>
                <w:rFonts w:hint="eastAsia" w:ascii="宋体" w:hAnsi="宋体" w:eastAsia="宋体" w:cs="宋体"/>
                <w:color w:val="auto"/>
                <w:sz w:val="24"/>
                <w:szCs w:val="24"/>
                <w:highlight w:val="none"/>
              </w:rPr>
              <w:t>的验收</w:t>
            </w:r>
            <w:r>
              <w:rPr>
                <w:rFonts w:hint="eastAsia" w:ascii="宋体" w:hAnsi="宋体" w:eastAsia="宋体" w:cs="宋体"/>
                <w:color w:val="auto"/>
                <w:sz w:val="24"/>
                <w:szCs w:val="24"/>
                <w:highlight w:val="none"/>
                <w:lang w:eastAsia="zh-CN"/>
              </w:rPr>
              <w:t>。</w:t>
            </w:r>
          </w:p>
          <w:p w14:paraId="552659EC">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2、调查报告涉及的内容以及反映情况的数据必须真实可靠，不许有偏差及失误。所运用的资料、数据，都要经过反复核实，确保内容真实性。</w:t>
            </w:r>
          </w:p>
          <w:p w14:paraId="5E4BD626">
            <w:pPr>
              <w:spacing w:line="360" w:lineRule="auto"/>
              <w:jc w:val="both"/>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sz w:val="24"/>
                <w:szCs w:val="24"/>
                <w:highlight w:val="none"/>
              </w:rPr>
              <w:t>3、自项目合同签订后</w:t>
            </w:r>
            <w:r>
              <w:rPr>
                <w:rFonts w:hint="eastAsia" w:ascii="宋体" w:hAnsi="宋体" w:eastAsia="宋体" w:cs="宋体"/>
                <w:color w:val="auto"/>
                <w:sz w:val="24"/>
                <w:szCs w:val="24"/>
                <w:highlight w:val="none"/>
                <w:u w:val="none"/>
              </w:rPr>
              <w:t>第</w:t>
            </w:r>
            <w:r>
              <w:rPr>
                <w:rFonts w:hint="eastAsia" w:ascii="宋体" w:hAnsi="宋体" w:eastAsia="宋体" w:cs="宋体"/>
                <w:color w:val="auto"/>
                <w:sz w:val="24"/>
                <w:szCs w:val="24"/>
                <w:highlight w:val="none"/>
                <w:u w:val="none"/>
                <w:lang w:val="en-US" w:eastAsia="zh-CN"/>
              </w:rPr>
              <w:t>10</w:t>
            </w:r>
            <w:r>
              <w:rPr>
                <w:rFonts w:hint="eastAsia" w:ascii="宋体" w:hAnsi="宋体" w:eastAsia="宋体" w:cs="宋体"/>
                <w:color w:val="auto"/>
                <w:sz w:val="24"/>
                <w:szCs w:val="24"/>
                <w:highlight w:val="none"/>
                <w:u w:val="none"/>
              </w:rPr>
              <w:t>月-第</w:t>
            </w:r>
            <w:r>
              <w:rPr>
                <w:rFonts w:hint="eastAsia" w:ascii="宋体" w:hAnsi="宋体" w:eastAsia="宋体" w:cs="宋体"/>
                <w:color w:val="auto"/>
                <w:sz w:val="24"/>
                <w:szCs w:val="24"/>
                <w:highlight w:val="none"/>
                <w:u w:val="none"/>
                <w:lang w:val="en-US" w:eastAsia="zh-CN"/>
              </w:rPr>
              <w:t>12</w:t>
            </w:r>
            <w:r>
              <w:rPr>
                <w:rFonts w:hint="eastAsia" w:ascii="宋体" w:hAnsi="宋体" w:eastAsia="宋体" w:cs="宋体"/>
                <w:color w:val="auto"/>
                <w:sz w:val="24"/>
                <w:szCs w:val="24"/>
                <w:highlight w:val="none"/>
                <w:u w:val="none"/>
              </w:rPr>
              <w:t>月</w:t>
            </w:r>
            <w:r>
              <w:rPr>
                <w:rFonts w:hint="eastAsia" w:ascii="宋体" w:hAnsi="宋体" w:eastAsia="宋体" w:cs="宋体"/>
                <w:color w:val="auto"/>
                <w:sz w:val="24"/>
                <w:szCs w:val="24"/>
                <w:highlight w:val="none"/>
              </w:rPr>
              <w:t>完成调查报告和数据库，召开专家评审验收会，提交终稿成果。</w:t>
            </w:r>
          </w:p>
        </w:tc>
      </w:tr>
      <w:tr w14:paraId="2EDA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260" w:type="dxa"/>
            <w:vAlign w:val="center"/>
          </w:tcPr>
          <w:p w14:paraId="06A1EFC5">
            <w:pPr>
              <w:autoSpaceDE w:val="0"/>
              <w:autoSpaceDN w:val="0"/>
              <w:adjustRightInd w:val="0"/>
              <w:spacing w:line="360" w:lineRule="auto"/>
              <w:jc w:val="center"/>
              <w:rPr>
                <w:rFonts w:hint="eastAsia" w:ascii="宋体" w:hAnsi="宋体" w:eastAsia="宋体" w:cs="宋体"/>
                <w:color w:val="auto"/>
                <w:kern w:val="0"/>
                <w:sz w:val="24"/>
                <w:szCs w:val="24"/>
                <w:highlight w:val="none"/>
              </w:rPr>
            </w:pPr>
          </w:p>
        </w:tc>
        <w:tc>
          <w:tcPr>
            <w:tcW w:w="734" w:type="dxa"/>
            <w:vAlign w:val="center"/>
          </w:tcPr>
          <w:p w14:paraId="2F2090F2">
            <w:pPr>
              <w:pStyle w:val="8"/>
              <w:numPr>
                <w:ilvl w:val="0"/>
                <w:numId w:val="1"/>
              </w:numPr>
              <w:autoSpaceDE w:val="0"/>
              <w:autoSpaceDN w:val="0"/>
              <w:spacing w:line="360" w:lineRule="auto"/>
              <w:ind w:firstLineChars="0"/>
              <w:jc w:val="center"/>
              <w:rPr>
                <w:rFonts w:hint="eastAsia" w:ascii="宋体" w:hAnsi="宋体" w:eastAsia="宋体" w:cs="宋体"/>
                <w:color w:val="auto"/>
                <w:kern w:val="0"/>
                <w:sz w:val="24"/>
                <w:highlight w:val="none"/>
              </w:rPr>
            </w:pPr>
          </w:p>
        </w:tc>
        <w:tc>
          <w:tcPr>
            <w:tcW w:w="7960" w:type="dxa"/>
            <w:vAlign w:val="top"/>
          </w:tcPr>
          <w:p w14:paraId="5A16A64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rPr>
              <w:t>、组织实施要求</w:t>
            </w:r>
            <w:bookmarkStart w:id="1" w:name="_GoBack"/>
            <w:bookmarkEnd w:id="1"/>
          </w:p>
          <w:p w14:paraId="71562AEA">
            <w:pPr>
              <w:spacing w:line="360" w:lineRule="auto"/>
              <w:jc w:val="both"/>
              <w:rPr>
                <w:rFonts w:hint="default" w:ascii="宋体" w:hAnsi="宋体" w:cs="宋体" w:eastAsiaTheme="minorEastAsia"/>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bCs/>
                <w:color w:val="auto"/>
                <w:kern w:val="2"/>
                <w:sz w:val="24"/>
                <w:highlight w:val="none"/>
              </w:rPr>
              <w:t>供应商拥有高效稳定的专业团队，</w:t>
            </w:r>
            <w:r>
              <w:rPr>
                <w:rFonts w:hint="eastAsia" w:ascii="宋体" w:hAnsi="宋体" w:cs="宋体"/>
                <w:bCs/>
                <w:color w:val="auto"/>
                <w:kern w:val="2"/>
                <w:sz w:val="24"/>
                <w:highlight w:val="none"/>
                <w:lang w:val="en-US" w:eastAsia="zh-CN"/>
              </w:rPr>
              <w:t>团队人员具有副高级或以上技术职称，</w:t>
            </w:r>
            <w:r>
              <w:rPr>
                <w:rFonts w:hint="eastAsia" w:ascii="宋体" w:hAnsi="宋体" w:cs="宋体"/>
                <w:bCs/>
                <w:color w:val="auto"/>
                <w:kern w:val="2"/>
                <w:sz w:val="24"/>
                <w:highlight w:val="none"/>
              </w:rPr>
              <w:t>分工明确，责任到人。团队人员能够满足采购人的需求，需配合采购人开展工作。项目小组需指定专门的项目负责人与采购人进行沟通、</w:t>
            </w:r>
            <w:r>
              <w:rPr>
                <w:rFonts w:hint="eastAsia" w:ascii="宋体" w:hAnsi="宋体" w:cs="宋体"/>
                <w:bCs/>
                <w:color w:val="auto"/>
                <w:kern w:val="2"/>
                <w:sz w:val="24"/>
                <w:highlight w:val="none"/>
                <w:lang w:val="en-US" w:eastAsia="zh-CN"/>
              </w:rPr>
              <w:t>制</w:t>
            </w:r>
            <w:r>
              <w:rPr>
                <w:rFonts w:hint="eastAsia" w:ascii="宋体" w:hAnsi="宋体" w:cs="宋体"/>
                <w:bCs/>
                <w:color w:val="auto"/>
                <w:kern w:val="2"/>
                <w:sz w:val="24"/>
                <w:highlight w:val="none"/>
              </w:rPr>
              <w:t>定计划和组织实施，以保证按时高效完成工作。</w:t>
            </w:r>
          </w:p>
          <w:p w14:paraId="4301BF9F">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kern w:val="0"/>
                <w:sz w:val="24"/>
                <w:szCs w:val="24"/>
                <w:highlight w:val="none"/>
                <w:lang w:val="en-US" w:eastAsia="zh-CN"/>
              </w:rPr>
              <w:t>成交供应商</w:t>
            </w:r>
            <w:r>
              <w:rPr>
                <w:rFonts w:hint="eastAsia" w:ascii="宋体" w:hAnsi="宋体" w:eastAsia="宋体" w:cs="宋体"/>
                <w:color w:val="auto"/>
                <w:sz w:val="24"/>
                <w:szCs w:val="24"/>
                <w:highlight w:val="none"/>
              </w:rPr>
              <w:t>实施项目工作过程中，需按要求配合采购人的监督检查、汇报等工作。</w:t>
            </w:r>
          </w:p>
          <w:p w14:paraId="20E16D40">
            <w:pPr>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项目成果的内容必须符合国家有关标准。</w:t>
            </w:r>
            <w:r>
              <w:rPr>
                <w:rFonts w:hint="eastAsia" w:ascii="宋体" w:hAnsi="宋体" w:eastAsia="宋体" w:cs="宋体"/>
                <w:color w:val="auto"/>
                <w:kern w:val="0"/>
                <w:sz w:val="24"/>
                <w:szCs w:val="24"/>
                <w:highlight w:val="none"/>
                <w:lang w:val="en-US" w:eastAsia="zh-CN"/>
              </w:rPr>
              <w:t>成交供应商</w:t>
            </w:r>
            <w:r>
              <w:rPr>
                <w:rFonts w:hint="eastAsia" w:ascii="宋体" w:hAnsi="宋体" w:eastAsia="宋体" w:cs="宋体"/>
                <w:color w:val="auto"/>
                <w:sz w:val="24"/>
                <w:szCs w:val="24"/>
                <w:highlight w:val="none"/>
              </w:rPr>
              <w:t>提供的文本须按采购人的要求进行封装，并应按上报所需的要求提供相应的文本。计算机文件要求：全部项目成果均应制作计算机文件。</w:t>
            </w:r>
          </w:p>
          <w:p w14:paraId="2B21301B">
            <w:pPr>
              <w:spacing w:line="360" w:lineRule="auto"/>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kern w:val="0"/>
                <w:sz w:val="24"/>
                <w:szCs w:val="24"/>
                <w:highlight w:val="none"/>
                <w:lang w:val="en-US" w:eastAsia="zh-CN"/>
              </w:rPr>
              <w:t>成交供应商需</w:t>
            </w:r>
            <w:r>
              <w:rPr>
                <w:rFonts w:hint="eastAsia" w:ascii="宋体" w:hAnsi="宋体" w:eastAsia="宋体" w:cs="宋体"/>
                <w:color w:val="auto"/>
                <w:sz w:val="24"/>
                <w:szCs w:val="24"/>
                <w:highlight w:val="none"/>
              </w:rPr>
              <w:t>按要求进行海洋渔业资源调查汇报、修编工作，并配合采购人要求在服务期限内提供相关咨询、协调和项目审查等技术支持。</w:t>
            </w:r>
          </w:p>
        </w:tc>
      </w:tr>
      <w:tr w14:paraId="3E64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1260" w:type="dxa"/>
            <w:vAlign w:val="center"/>
          </w:tcPr>
          <w:p w14:paraId="01AA7B71">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说明</w:t>
            </w:r>
          </w:p>
        </w:tc>
        <w:tc>
          <w:tcPr>
            <w:tcW w:w="8694" w:type="dxa"/>
            <w:gridSpan w:val="2"/>
            <w:vAlign w:val="center"/>
          </w:tcPr>
          <w:p w14:paraId="3FC9A642">
            <w:pPr>
              <w:autoSpaceDE w:val="0"/>
              <w:autoSpaceDN w:val="0"/>
              <w:adjustRightIn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打</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号条款为实质性条款，若有任何一条负偏离或不满足则导致投标（响应）无效。</w:t>
            </w:r>
          </w:p>
          <w:p w14:paraId="57510E4D">
            <w:pPr>
              <w:autoSpaceDE w:val="0"/>
              <w:autoSpaceDN w:val="0"/>
              <w:adjustRightInd w:val="0"/>
              <w:spacing w:line="360" w:lineRule="auto"/>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打“▲”号条款为重要技术参数（如有），若有部分“▲”条款未响应或不满足，将根据评审要求影响其得分，但不作为无效投标（响应）条款。</w:t>
            </w:r>
          </w:p>
        </w:tc>
      </w:tr>
    </w:tbl>
    <w:p w14:paraId="7BDA6070">
      <w:pPr>
        <w:widowControl/>
        <w:spacing w:line="360" w:lineRule="auto"/>
        <w:jc w:val="left"/>
        <w:rPr>
          <w:color w:val="auto"/>
          <w:highlight w:val="none"/>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449DD"/>
    <w:multiLevelType w:val="multilevel"/>
    <w:tmpl w:val="3EB449DD"/>
    <w:lvl w:ilvl="0" w:tentative="0">
      <w:start w:val="1"/>
      <w:numFmt w:val="decimal"/>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2ZGE4YmEzYmM4MDY5MzgyYzdhODA5YWVmYWJiZmYifQ=="/>
  </w:docVars>
  <w:rsids>
    <w:rsidRoot w:val="00000000"/>
    <w:rsid w:val="11CD050B"/>
    <w:rsid w:val="14A22E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toc 2"/>
    <w:basedOn w:val="1"/>
    <w:next w:val="1"/>
    <w:qFormat/>
    <w:uiPriority w:val="0"/>
    <w:pPr>
      <w:ind w:left="420" w:leftChars="200"/>
    </w:p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0"/>
    <w:pPr>
      <w:adjustRightInd w:val="0"/>
      <w:spacing w:line="360" w:lineRule="atLeast"/>
      <w:ind w:firstLine="420" w:firstLineChars="200"/>
    </w:pPr>
    <w:rPr>
      <w:rFonts w:ascii="Times New Roman" w:hAnsi="Times New Roman"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1865</Words>
  <Characters>1964</Characters>
  <Lines>0</Lines>
  <Paragraphs>0</Paragraphs>
  <TotalTime>1</TotalTime>
  <ScaleCrop>false</ScaleCrop>
  <LinksUpToDate>false</LinksUpToDate>
  <CharactersWithSpaces>1964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2024-09-09T02:20:00Z</dcterms:created>
  <dc:creator>admin</dc:creator>
  <cp:lastModifiedBy>bei</cp:lastModifiedBy>
  <dcterms:modified xsi:type="dcterms:W3CDTF">2025-06-25T02:26:13Z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306151AF89164A0BBE2F0E4A13599F0E_12</vt:lpwstr>
  </property>
  <property fmtid="{D5CDD505-2E9C-101B-9397-08002B2CF9AE}" pid="4" name="KSOTemplateDocerSaveRecord">
    <vt:lpwstr>eyJoZGlkIjoiZGQ2ZGE4YmEzYmM4MDY5MzgyYzdhODA5YWVmYWJiZmYiLCJ1c2VySWQiOiIyNTM5NTg3MTEifQ==</vt:lpwstr>
  </property>
</Properties>
</file>