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42A93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249744E6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6D52E40B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1375DE3F">
      <w:pPr>
        <w:jc w:val="both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313CE093">
      <w:pPr>
        <w:jc w:val="center"/>
        <w:outlineLvl w:val="9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eastAsia="zh-CN"/>
        </w:rPr>
        <w:t>广州市第十二人民医院天河院区饭堂运营服务采购项目</w:t>
      </w:r>
    </w:p>
    <w:p w14:paraId="4C7D2906">
      <w:pPr>
        <w:rPr>
          <w:rFonts w:hint="eastAsia"/>
          <w:lang w:val="en-US" w:eastAsia="zh-CN"/>
        </w:rPr>
      </w:pPr>
    </w:p>
    <w:p w14:paraId="749D29FF">
      <w:pPr>
        <w:jc w:val="center"/>
        <w:outlineLvl w:val="9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包1：餐饮服务</w:t>
      </w:r>
    </w:p>
    <w:p w14:paraId="3ABD8B44">
      <w:pPr>
        <w:spacing w:line="360" w:lineRule="auto"/>
        <w:jc w:val="center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</w:rPr>
      </w:pPr>
    </w:p>
    <w:p w14:paraId="420ED15B">
      <w:pPr>
        <w:spacing w:line="360" w:lineRule="auto"/>
        <w:jc w:val="center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《市场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调查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表》</w:t>
      </w:r>
    </w:p>
    <w:p w14:paraId="2C06099C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7EAC2BA9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70E97F1F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600EAE8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C718A5D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6C719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供应商名称：</w:t>
      </w:r>
    </w:p>
    <w:p w14:paraId="4C0E2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联系人：</w:t>
      </w:r>
    </w:p>
    <w:p w14:paraId="3395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联系方式：</w:t>
      </w:r>
    </w:p>
    <w:p w14:paraId="17B3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日期：</w:t>
      </w:r>
    </w:p>
    <w:p w14:paraId="5649C63F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579A3459">
      <w:pPr>
        <w:spacing w:line="360" w:lineRule="auto"/>
        <w:jc w:val="center"/>
        <w:rPr>
          <w:rFonts w:hint="eastAsia" w:ascii="宋体" w:hAnsi="宋体" w:eastAsia="宋体" w:cs="宋体"/>
        </w:rPr>
      </w:pPr>
      <w:bookmarkStart w:id="0" w:name="_Toc128474408"/>
      <w:bookmarkStart w:id="1" w:name="_Toc28609"/>
      <w:r>
        <w:rPr>
          <w:rFonts w:hint="eastAsia" w:ascii="宋体" w:hAnsi="宋体" w:eastAsia="宋体" w:cs="宋体"/>
          <w:b/>
          <w:bCs/>
          <w:sz w:val="36"/>
          <w:szCs w:val="36"/>
        </w:rPr>
        <w:t>声 明</w:t>
      </w:r>
      <w:bookmarkEnd w:id="0"/>
      <w:bookmarkEnd w:id="1"/>
    </w:p>
    <w:p w14:paraId="5C377DE2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仅作为采购人编制采购需求的参考，参与本次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并不代表取得订单。</w:t>
      </w:r>
    </w:p>
    <w:p w14:paraId="22C47DF0"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的项目需求为本项目的初步需求，采购人可视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情况进行调整。</w:t>
      </w:r>
    </w:p>
    <w:p w14:paraId="21090864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3.本项目严禁各供应商进行恶意串通、恶意竞争或其它违规行为，一经查实，将上报采购人。</w:t>
      </w:r>
    </w:p>
    <w:p w14:paraId="6F051F98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4.供应商需为本次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提交的所有资料真实性负责。</w:t>
      </w:r>
    </w:p>
    <w:p w14:paraId="77036C20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5.供应商提供的所有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材料，均需加盖公章。</w:t>
      </w:r>
    </w:p>
    <w:p w14:paraId="0D8FC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4A90288B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  <w:br w:type="page"/>
      </w:r>
    </w:p>
    <w:p w14:paraId="68FEF494">
      <w:pPr>
        <w:pStyle w:val="2"/>
        <w:spacing w:line="360" w:lineRule="auto"/>
        <w:ind w:left="0" w:leftChars="0" w:firstLine="0" w:firstLineChars="0"/>
        <w:outlineLvl w:val="0"/>
        <w:rPr>
          <w:rFonts w:hint="eastAsia"/>
        </w:rPr>
      </w:pPr>
      <w:bookmarkStart w:id="2" w:name="_Toc31916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</w:rPr>
        <w:t>调查供应商基本信息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263"/>
        <w:gridCol w:w="2262"/>
        <w:gridCol w:w="2274"/>
      </w:tblGrid>
      <w:tr w14:paraId="0870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1FA3A85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单位名称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248" w:type="pct"/>
            <w:vAlign w:val="center"/>
          </w:tcPr>
          <w:p w14:paraId="29B0F9A2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54808D1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统一社会信用代码：</w:t>
            </w:r>
          </w:p>
        </w:tc>
        <w:tc>
          <w:tcPr>
            <w:tcW w:w="1253" w:type="pct"/>
            <w:vAlign w:val="center"/>
          </w:tcPr>
          <w:p w14:paraId="47082E8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1317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60BA3A0F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法定代表人：</w:t>
            </w:r>
          </w:p>
        </w:tc>
        <w:tc>
          <w:tcPr>
            <w:tcW w:w="1248" w:type="pct"/>
            <w:vAlign w:val="center"/>
          </w:tcPr>
          <w:p w14:paraId="2E2598A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16E4C0AB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注册资本：</w:t>
            </w:r>
          </w:p>
        </w:tc>
        <w:tc>
          <w:tcPr>
            <w:tcW w:w="1253" w:type="pct"/>
            <w:vAlign w:val="center"/>
          </w:tcPr>
          <w:p w14:paraId="1721FB1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0257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098BCFE4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成立时间：</w:t>
            </w:r>
          </w:p>
        </w:tc>
        <w:tc>
          <w:tcPr>
            <w:tcW w:w="1248" w:type="pct"/>
            <w:vAlign w:val="center"/>
          </w:tcPr>
          <w:p w14:paraId="25F1AEA4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16D5833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电子邮箱：</w:t>
            </w:r>
          </w:p>
        </w:tc>
        <w:tc>
          <w:tcPr>
            <w:tcW w:w="1253" w:type="pct"/>
            <w:vAlign w:val="center"/>
          </w:tcPr>
          <w:p w14:paraId="64964EE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5912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3807879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联系人：</w:t>
            </w:r>
          </w:p>
        </w:tc>
        <w:tc>
          <w:tcPr>
            <w:tcW w:w="1248" w:type="pct"/>
            <w:vAlign w:val="center"/>
          </w:tcPr>
          <w:p w14:paraId="5DEAE0B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7136F327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253" w:type="pct"/>
            <w:vAlign w:val="center"/>
          </w:tcPr>
          <w:p w14:paraId="199181A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70B3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798A8270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注册地址：</w:t>
            </w:r>
          </w:p>
        </w:tc>
        <w:tc>
          <w:tcPr>
            <w:tcW w:w="3751" w:type="pct"/>
            <w:gridSpan w:val="3"/>
            <w:vAlign w:val="center"/>
          </w:tcPr>
          <w:p w14:paraId="373A7FD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186F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2497" w:type="pct"/>
            <w:gridSpan w:val="2"/>
            <w:vAlign w:val="center"/>
          </w:tcPr>
          <w:p w14:paraId="5B645A2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企业类别</w:t>
            </w:r>
          </w:p>
          <w:p w14:paraId="214BC0B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对照中小企业划型标准规定（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>餐饮业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人以下或营业收入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0000万元以下的为中小微型企业。其中，从业人员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人及以上，且营业收入</w:t>
            </w:r>
            <w:bookmarkStart w:id="7" w:name="_GoBack"/>
            <w:bookmarkEnd w:id="7"/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2000万元及以上的为中型企业；从业人员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人及以上，且营业收入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万元及以上的为小型企业；从业人员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人以下或营业收入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万元以下的为微型企业。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2502" w:type="pct"/>
            <w:gridSpan w:val="2"/>
            <w:vAlign w:val="center"/>
          </w:tcPr>
          <w:p w14:paraId="20A87BD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从业人员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人，营业收入为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万元，资产总额为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万元，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属于（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大型企业/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中型企业/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小型企业/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微型企业）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。</w:t>
            </w:r>
          </w:p>
          <w:p w14:paraId="3E15018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294648AE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备注：从业人员、营业收入、资产总额填报上一年度数据，无上一年度数据的新成立企业可不填报。</w:t>
            </w:r>
          </w:p>
        </w:tc>
      </w:tr>
      <w:tr w14:paraId="4C0B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00" w:type="pct"/>
            <w:gridSpan w:val="4"/>
            <w:vAlign w:val="center"/>
          </w:tcPr>
          <w:p w14:paraId="3A44188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调查内容</w:t>
            </w:r>
          </w:p>
        </w:tc>
      </w:tr>
      <w:tr w14:paraId="6004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5000" w:type="pct"/>
            <w:gridSpan w:val="4"/>
            <w:vAlign w:val="center"/>
          </w:tcPr>
          <w:p w14:paraId="7209C13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1.采购需求是否完善合理？</w:t>
            </w:r>
          </w:p>
          <w:p w14:paraId="20B5DB4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合理</w:t>
            </w:r>
          </w:p>
          <w:p w14:paraId="456FC18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□部分合理，不合理的条款是：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 w14:paraId="4697D5C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 w14:paraId="0DB796D9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3D1AC6D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全部不合理，理由是：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3683AF8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 w14:paraId="7507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000" w:type="pct"/>
            <w:gridSpan w:val="4"/>
            <w:vAlign w:val="center"/>
          </w:tcPr>
          <w:p w14:paraId="7A205D48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.有无其他补充建议：</w:t>
            </w:r>
          </w:p>
          <w:p w14:paraId="02BEAFF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无</w:t>
            </w:r>
          </w:p>
          <w:p w14:paraId="4E21923D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□有，具体建议是：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</w:tbl>
    <w:p w14:paraId="049E708D">
      <w:pP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br w:type="page"/>
      </w:r>
    </w:p>
    <w:p w14:paraId="53829752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二、</w:t>
      </w:r>
      <w:bookmarkEnd w:id="2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相关产业发展</w:t>
      </w:r>
    </w:p>
    <w:p w14:paraId="76395F22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营业执照复印件；</w:t>
      </w:r>
    </w:p>
    <w:p w14:paraId="17C18C78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可能涉及的企业资质、产品资质、人员资质；</w:t>
      </w:r>
    </w:p>
    <w:p w14:paraId="39EBAECB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涉及的相关标准和规范；</w:t>
      </w:r>
    </w:p>
    <w:p w14:paraId="2D339AA7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三、市场供给</w:t>
      </w:r>
    </w:p>
    <w:p w14:paraId="40201614"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市场竞争程度（请列举出三家以上主要竞争企业）；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558"/>
      </w:tblGrid>
      <w:tr w14:paraId="5D33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3FE0D8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72" w:type="pct"/>
            <w:vAlign w:val="center"/>
          </w:tcPr>
          <w:p w14:paraId="4BADE92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主要竞争企业</w:t>
            </w:r>
          </w:p>
        </w:tc>
      </w:tr>
      <w:tr w14:paraId="5E2F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5D82AAE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72" w:type="pct"/>
            <w:vAlign w:val="center"/>
          </w:tcPr>
          <w:p w14:paraId="43FD96E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6B3C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68A79D2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72" w:type="pct"/>
            <w:vAlign w:val="center"/>
          </w:tcPr>
          <w:p w14:paraId="1A60180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5669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4FB2AB3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72" w:type="pct"/>
            <w:vAlign w:val="center"/>
          </w:tcPr>
          <w:p w14:paraId="5E2B8C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2DA1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1EC8EDB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4172" w:type="pct"/>
            <w:vAlign w:val="center"/>
          </w:tcPr>
          <w:p w14:paraId="3A98DEA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</w:tbl>
    <w:p w14:paraId="6AB7C655"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</w:rPr>
      </w:pPr>
    </w:p>
    <w:p w14:paraId="34FA7E67"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E9CAC3D"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价格水平或价格构成；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1002"/>
        <w:gridCol w:w="671"/>
        <w:gridCol w:w="671"/>
        <w:gridCol w:w="671"/>
        <w:gridCol w:w="710"/>
        <w:gridCol w:w="710"/>
        <w:gridCol w:w="710"/>
        <w:gridCol w:w="710"/>
        <w:gridCol w:w="710"/>
        <w:gridCol w:w="710"/>
        <w:gridCol w:w="710"/>
        <w:gridCol w:w="717"/>
        <w:gridCol w:w="1217"/>
        <w:gridCol w:w="1217"/>
        <w:gridCol w:w="1217"/>
        <w:gridCol w:w="1218"/>
      </w:tblGrid>
      <w:tr w14:paraId="08B8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9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B9A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58" w:type="pct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69A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分项内容</w:t>
            </w:r>
          </w:p>
        </w:tc>
        <w:tc>
          <w:tcPr>
            <w:tcW w:w="239" w:type="pct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054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配置服务人员人数</w:t>
            </w:r>
          </w:p>
        </w:tc>
        <w:tc>
          <w:tcPr>
            <w:tcW w:w="239" w:type="pct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1F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税前工资</w:t>
            </w:r>
          </w:p>
        </w:tc>
        <w:tc>
          <w:tcPr>
            <w:tcW w:w="239" w:type="pct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DF8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绩效工资</w:t>
            </w:r>
          </w:p>
        </w:tc>
        <w:tc>
          <w:tcPr>
            <w:tcW w:w="1776" w:type="pct"/>
            <w:gridSpan w:val="7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587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费用明细</w:t>
            </w:r>
          </w:p>
        </w:tc>
        <w:tc>
          <w:tcPr>
            <w:tcW w:w="25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26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D9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公司管理费用及利润6%</w:t>
            </w:r>
          </w:p>
        </w:tc>
        <w:tc>
          <w:tcPr>
            <w:tcW w:w="435" w:type="pct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885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增值税（6.72%）</w:t>
            </w:r>
          </w:p>
        </w:tc>
        <w:tc>
          <w:tcPr>
            <w:tcW w:w="435" w:type="pct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F0B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人均单价（元/月.人）</w:t>
            </w:r>
          </w:p>
        </w:tc>
        <w:tc>
          <w:tcPr>
            <w:tcW w:w="435" w:type="pct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F39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每月费用小计（小计×人数）</w:t>
            </w:r>
          </w:p>
        </w:tc>
      </w:tr>
      <w:tr w14:paraId="23F7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49" w:type="pct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ABF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58" w:type="pct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619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9" w:type="pct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9BB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9" w:type="pct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C78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9" w:type="pct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898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CBB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社保</w:t>
            </w: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7EB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住房公积金（5%)</w:t>
            </w: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68A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服装</w:t>
            </w: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00D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残疾人就业保障金</w:t>
            </w: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D38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体检费</w:t>
            </w: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158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高温补贴</w:t>
            </w: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DBE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工会费用</w:t>
            </w:r>
          </w:p>
        </w:tc>
        <w:tc>
          <w:tcPr>
            <w:tcW w:w="25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B48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435" w:type="pct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64D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57B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456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vMerge w:val="continue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4AD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865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6F7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5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197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项目经理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154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511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8E1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472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A9A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C7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4C3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253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7E6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B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A18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2DE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C6B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3F4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0A4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169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380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A67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主厨兼主管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75F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B3F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0D6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DA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AFE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AB7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A49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E0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21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46A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B9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C66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3A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A64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36B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F78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1B7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FAD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厨师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B1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A1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2A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FEF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F6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93C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A96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78E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EC1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A23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BA8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E75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40E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201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2C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C25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04D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597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点心组长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3C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B9D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4C0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210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B9B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43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99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D6F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CB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9F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39F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7AE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045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FAC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50F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7BE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7F1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D4E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点心师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F7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66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4D1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B18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75E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25D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B2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0F2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21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0E1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D26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F51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8A2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BA5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84B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0D5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DC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5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08C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厨工组长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35E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537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355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05D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2B5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B2D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D67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CEE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C11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A09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409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E9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059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770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9D6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78F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B8E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5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8B2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厨工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28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811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1CC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327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FC1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F72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BA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5AA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884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3D8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1AE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896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8F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D07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A12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0209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E8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5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B80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配餐班长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35F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FF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C93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763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556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06B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EE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5BC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B0C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FF3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0D2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3DD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6C0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386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D04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97E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F8E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5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2EF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配餐员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9FB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C5E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226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33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C66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DEC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46A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3C7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ADE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CC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D4F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1F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BBB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A44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7AF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3A37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BF1E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58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0B5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文员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50E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12C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FE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7B8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3C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71C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46F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F5E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CAA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35D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740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C54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C7A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A96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752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5C08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B2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5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A9B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共计：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524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BBB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9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B2A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3FB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85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D2C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50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751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41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3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464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A7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6E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D97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BB2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BFE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3FDE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129" w:type="pct"/>
            <w:gridSpan w:val="1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14B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个月总计</w:t>
            </w:r>
          </w:p>
        </w:tc>
        <w:tc>
          <w:tcPr>
            <w:tcW w:w="4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EC3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381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 w14:paraId="607DC57C">
      <w:pPr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1.本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包组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的总价最高限价为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370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万元/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个月，其中人员工资限价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370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万元，人员工资总报价=（岗位类型人员单价报价×岗位类型人数）×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个月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7ECEDB91">
      <w:pPr>
        <w:spacing w:line="360" w:lineRule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2.供应商应按照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上述表格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将各岗位报价情况列明，其中“税前工资”栏是供应商须保证各岗位员工能拿到的最低税前收入水平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2F9A8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2ADEC12C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sectPr>
          <w:pgSz w:w="16838" w:h="11906" w:orient="landscape"/>
          <w:pgMar w:top="1474" w:right="1440" w:bottom="1361" w:left="144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7874F1B2">
      <w:pPr>
        <w:pStyle w:val="2"/>
        <w:spacing w:line="360" w:lineRule="auto"/>
        <w:ind w:left="0" w:leftChars="0" w:firstLine="0" w:firstLineChars="0"/>
        <w:outlineLvl w:val="0"/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bookmarkStart w:id="3" w:name="_Toc27508"/>
      <w:bookmarkStart w:id="4" w:name="_Toc9157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四、</w:t>
      </w:r>
      <w:bookmarkEnd w:id="3"/>
      <w:bookmarkEnd w:id="4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同类采购项目历史成交信息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275"/>
        <w:gridCol w:w="1670"/>
        <w:gridCol w:w="1577"/>
        <w:gridCol w:w="1486"/>
        <w:gridCol w:w="1387"/>
      </w:tblGrid>
      <w:tr w14:paraId="68D6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65" w:type="pct"/>
            <w:vAlign w:val="center"/>
          </w:tcPr>
          <w:p w14:paraId="18D118A8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55" w:type="pct"/>
            <w:vAlign w:val="center"/>
          </w:tcPr>
          <w:p w14:paraId="77D7A853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921" w:type="pct"/>
            <w:vAlign w:val="center"/>
          </w:tcPr>
          <w:p w14:paraId="39FF53CA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采购人</w:t>
            </w:r>
          </w:p>
        </w:tc>
        <w:tc>
          <w:tcPr>
            <w:tcW w:w="870" w:type="pct"/>
            <w:vAlign w:val="center"/>
          </w:tcPr>
          <w:p w14:paraId="3269616E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项目预算</w:t>
            </w:r>
          </w:p>
        </w:tc>
        <w:tc>
          <w:tcPr>
            <w:tcW w:w="820" w:type="pct"/>
            <w:vAlign w:val="center"/>
          </w:tcPr>
          <w:p w14:paraId="6D7EE57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中标价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/中标折扣/中标下浮率</w:t>
            </w:r>
          </w:p>
        </w:tc>
        <w:tc>
          <w:tcPr>
            <w:tcW w:w="765" w:type="pct"/>
            <w:vAlign w:val="center"/>
          </w:tcPr>
          <w:p w14:paraId="191966E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服务时间</w:t>
            </w:r>
          </w:p>
        </w:tc>
      </w:tr>
      <w:tr w14:paraId="0A52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497EF7C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42802DD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6672D66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CDD441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6D58DD0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6357CD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E9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467F558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1FD58B9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057186B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4B6E3AB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4ADD45A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FB5AFA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DF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166FC42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461CBC6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1A6AAF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5CB1932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0AB732F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6E1A53D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1E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2F50DA3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6FF7138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08526AA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2D87E21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144DB1F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5C5B45A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19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3F3B853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1D19A89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05D1529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5C4E042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6E82CFD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79E976A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52CEFF9">
      <w:pPr>
        <w:spacing w:line="360" w:lineRule="auto"/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注：后附相关业绩复印件。请提供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以上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同类项目合同或中标通知书复印件等业绩证明材料（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优先提供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广东省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内的业绩证明）需加盖公章。</w:t>
      </w:r>
    </w:p>
    <w:p w14:paraId="2762AEFD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五、后续采购情况</w:t>
      </w:r>
    </w:p>
    <w:p w14:paraId="1FF0BBAC">
      <w:pPr>
        <w:spacing w:line="360" w:lineRule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可能涉及的运行维护、升级更新、备品备件、耗材等情况。【如无，可填无】</w:t>
      </w:r>
    </w:p>
    <w:p w14:paraId="2657E090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05094A08">
      <w:pPr>
        <w:pStyle w:val="2"/>
        <w:spacing w:line="360" w:lineRule="auto"/>
        <w:ind w:left="0" w:leftChars="0" w:firstLine="0" w:firstLineChars="0"/>
        <w:outlineLvl w:val="0"/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bookmarkStart w:id="5" w:name="_Toc14259"/>
      <w:bookmarkStart w:id="6" w:name="_Toc8742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六、供应商参与采购需求调查的声明函</w:t>
      </w:r>
      <w:bookmarkEnd w:id="5"/>
      <w:bookmarkEnd w:id="6"/>
    </w:p>
    <w:p w14:paraId="0639724D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0ED193E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广州市第十二人民医院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 w14:paraId="1E3027C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我司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清楚知悉并理解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贵单位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采购需求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调查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的目标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主要是为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了调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查市场主体情况，了解行业市场竞争程度，为</w:t>
      </w:r>
      <w:r>
        <w:rPr>
          <w:rFonts w:hint="eastAsia" w:ascii="宋体" w:hAnsi="宋体" w:eastAsia="宋体" w:cs="宋体"/>
          <w:sz w:val="24"/>
          <w:szCs w:val="24"/>
        </w:rPr>
        <w:t>项目的成功实施提供更充分的参考和依据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获得多样化的意见。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我司清楚</w:t>
      </w:r>
      <w:r>
        <w:rPr>
          <w:rFonts w:hint="eastAsia" w:ascii="宋体" w:hAnsi="宋体" w:eastAsia="宋体" w:cs="宋体"/>
          <w:sz w:val="24"/>
          <w:szCs w:val="24"/>
        </w:rPr>
        <w:t>并明晰以下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注意</w:t>
      </w:r>
      <w:r>
        <w:rPr>
          <w:rFonts w:hint="eastAsia" w:ascii="宋体" w:hAnsi="宋体" w:eastAsia="宋体" w:cs="宋体"/>
          <w:sz w:val="24"/>
          <w:szCs w:val="24"/>
        </w:rPr>
        <w:t>事项：</w:t>
      </w:r>
    </w:p>
    <w:p w14:paraId="32FF588C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需求调查</w:t>
      </w:r>
      <w:r>
        <w:rPr>
          <w:rFonts w:hint="eastAsia" w:ascii="宋体" w:hAnsi="宋体" w:eastAsia="宋体" w:cs="宋体"/>
          <w:sz w:val="24"/>
          <w:szCs w:val="24"/>
        </w:rPr>
        <w:t>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仅供供应商参考，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采购需求》中</w:t>
      </w:r>
      <w:r>
        <w:rPr>
          <w:rFonts w:hint="eastAsia" w:ascii="宋体" w:hAnsi="宋体" w:eastAsia="宋体" w:cs="宋体"/>
          <w:sz w:val="24"/>
          <w:szCs w:val="24"/>
        </w:rPr>
        <w:t>存在有歧视性、排他性或限制性的内容，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我司能够</w:t>
      </w:r>
      <w:r>
        <w:rPr>
          <w:rFonts w:hint="eastAsia" w:ascii="宋体" w:hAnsi="宋体" w:eastAsia="宋体" w:cs="宋体"/>
          <w:sz w:val="24"/>
          <w:szCs w:val="24"/>
        </w:rPr>
        <w:t>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这并</w:t>
      </w:r>
      <w:r>
        <w:rPr>
          <w:rFonts w:hint="eastAsia" w:ascii="宋体" w:hAnsi="宋体" w:eastAsia="宋体" w:cs="宋体"/>
          <w:sz w:val="24"/>
          <w:szCs w:val="24"/>
        </w:rPr>
        <w:t>不属于采购人的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32B1E54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知悉并清楚</w:t>
      </w: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仅作为采购人编制采购需求的参考，参与本次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并不代表取得订单。</w:t>
      </w:r>
    </w:p>
    <w:p w14:paraId="2BCF5B4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我司将根据采购人提供的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，准确提炼采购人本次采购需要达到的功能和使用要求，并根据理解，客观真实提供自己的意见和建议。</w:t>
      </w:r>
    </w:p>
    <w:p w14:paraId="125168A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中有歧视性、排他性或者限制性的内容内容，将根据本次调查提供的表格模板要求，本着诚实信用原则，真实填写意见和建议。</w:t>
      </w:r>
    </w:p>
    <w:p w14:paraId="6480451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知悉</w:t>
      </w: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的项目需求为本项目的初步需求，采购人可视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情况进行调整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充分理解采购人在采购需求调查中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可能会</w:t>
      </w:r>
      <w:r>
        <w:rPr>
          <w:rFonts w:hint="eastAsia" w:ascii="宋体" w:hAnsi="宋体" w:eastAsia="宋体" w:cs="宋体"/>
          <w:sz w:val="24"/>
          <w:szCs w:val="24"/>
        </w:rPr>
        <w:t>充分考虑供应商提供的意见和建议，以合理制定本项目的具体采购需求。同时，我司严格履行商业道德，不提供不实意见或建议，或者不以恶意方式和手段影响采购人采购活动正常开展。</w:t>
      </w:r>
    </w:p>
    <w:p w14:paraId="6DFF45B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7F7A38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供应商（加盖公章）：</w:t>
      </w:r>
    </w:p>
    <w:p w14:paraId="4236496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 w14:paraId="2B91A826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28C6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D9E55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D9E55">
                    <w:pPr>
                      <w:pStyle w:val="7"/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6E9AF"/>
    <w:multiLevelType w:val="singleLevel"/>
    <w:tmpl w:val="AA16E9A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77173D8"/>
    <w:multiLevelType w:val="singleLevel"/>
    <w:tmpl w:val="077173D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CBB479D"/>
    <w:multiLevelType w:val="multilevel"/>
    <w:tmpl w:val="2CBB479D"/>
    <w:lvl w:ilvl="0" w:tentative="0">
      <w:start w:val="1"/>
      <w:numFmt w:val="chineseCountingThousand"/>
      <w:pStyle w:val="4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9F711A"/>
    <w:multiLevelType w:val="singleLevel"/>
    <w:tmpl w:val="369F711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GE4YmEzYmM4MDY5MzgyYzdhODA5YWVmYWJiZmYifQ=="/>
  </w:docVars>
  <w:rsids>
    <w:rsidRoot w:val="52AF7596"/>
    <w:rsid w:val="01F91C73"/>
    <w:rsid w:val="051354F0"/>
    <w:rsid w:val="10BD6140"/>
    <w:rsid w:val="13FD30D3"/>
    <w:rsid w:val="14186D67"/>
    <w:rsid w:val="14EC1D19"/>
    <w:rsid w:val="16F52567"/>
    <w:rsid w:val="174401A2"/>
    <w:rsid w:val="197233CD"/>
    <w:rsid w:val="1F637726"/>
    <w:rsid w:val="206D4AA5"/>
    <w:rsid w:val="20A27EC4"/>
    <w:rsid w:val="28382D12"/>
    <w:rsid w:val="2AA22A17"/>
    <w:rsid w:val="2E7223AC"/>
    <w:rsid w:val="33FD7BDF"/>
    <w:rsid w:val="378000F3"/>
    <w:rsid w:val="38064FA4"/>
    <w:rsid w:val="3B421663"/>
    <w:rsid w:val="3BBC3C70"/>
    <w:rsid w:val="3DEE2873"/>
    <w:rsid w:val="3E301BEE"/>
    <w:rsid w:val="3F67605C"/>
    <w:rsid w:val="413E2AC3"/>
    <w:rsid w:val="485601BC"/>
    <w:rsid w:val="487221C7"/>
    <w:rsid w:val="4ADE597A"/>
    <w:rsid w:val="4F943DCA"/>
    <w:rsid w:val="52AF7596"/>
    <w:rsid w:val="52BA7E5F"/>
    <w:rsid w:val="55D12128"/>
    <w:rsid w:val="56E66275"/>
    <w:rsid w:val="5AEB36A2"/>
    <w:rsid w:val="5AFA65F2"/>
    <w:rsid w:val="5C4C6B7A"/>
    <w:rsid w:val="5C8F764B"/>
    <w:rsid w:val="5D8E02C3"/>
    <w:rsid w:val="5F1953A8"/>
    <w:rsid w:val="5FED2A77"/>
    <w:rsid w:val="61786F13"/>
    <w:rsid w:val="642F125B"/>
    <w:rsid w:val="64A5151D"/>
    <w:rsid w:val="64A93F22"/>
    <w:rsid w:val="65F04A1A"/>
    <w:rsid w:val="69514D60"/>
    <w:rsid w:val="6A224243"/>
    <w:rsid w:val="6C822D8D"/>
    <w:rsid w:val="6D285D05"/>
    <w:rsid w:val="6D3B3A5A"/>
    <w:rsid w:val="71E556C6"/>
    <w:rsid w:val="74A577F4"/>
    <w:rsid w:val="74A754ED"/>
    <w:rsid w:val="79D7347A"/>
    <w:rsid w:val="7AB1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eastAsia="宋体"/>
      <w:b/>
      <w:bCs/>
      <w:kern w:val="44"/>
      <w:sz w:val="28"/>
      <w:szCs w:val="44"/>
    </w:rPr>
  </w:style>
  <w:style w:type="paragraph" w:styleId="5">
    <w:name w:val="heading 2"/>
    <w:basedOn w:val="1"/>
    <w:next w:val="1"/>
    <w:link w:val="18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 w:val="0"/>
      <w:kinsoku/>
      <w:autoSpaceDE/>
      <w:autoSpaceDN/>
      <w:adjustRightInd/>
      <w:snapToGrid/>
      <w:ind w:firstLine="360"/>
      <w:jc w:val="both"/>
      <w:textAlignment w:val="auto"/>
    </w:pPr>
    <w:rPr>
      <w:rFonts w:eastAsiaTheme="minorEastAsia" w:cstheme="minorBidi"/>
      <w:snapToGrid/>
      <w:color w:val="auto"/>
      <w:kern w:val="2"/>
      <w:szCs w:val="24"/>
    </w:rPr>
  </w:style>
  <w:style w:type="paragraph" w:styleId="6">
    <w:name w:val="Body Text"/>
    <w:basedOn w:val="1"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autoRedefine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styleId="15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  <w:style w:type="character" w:customStyle="1" w:styleId="16">
    <w:name w:val="font31"/>
    <w:basedOn w:val="13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7">
    <w:name w:val="font41"/>
    <w:basedOn w:val="13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标题 2 Char"/>
    <w:link w:val="5"/>
    <w:qFormat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1628</Words>
  <Characters>1677</Characters>
  <Lines>0</Lines>
  <Paragraphs>0</Paragraphs>
  <TotalTime>0</TotalTime>
  <ScaleCrop>false</ScaleCrop>
  <LinksUpToDate>false</LinksUpToDate>
  <CharactersWithSpaces>1839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2023-09-14T07:01:00Z</dcterms:created>
  <dc:creator>admin</dc:creator>
  <cp:lastModifiedBy>bei</cp:lastModifiedBy>
  <dcterms:modified xsi:type="dcterms:W3CDTF">2025-06-20T07:18:14Z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0C7CF858300443A5BAE929D32EA92D2B_13</vt:lpwstr>
  </property>
  <property fmtid="{D5CDD505-2E9C-101B-9397-08002B2CF9AE}" pid="4" name="KSOTemplateDocerSaveRecord">
    <vt:lpwstr>eyJoZGlkIjoiZGQ2ZGE4YmEzYmM4MDY5MzgyYzdhODA5YWVmYWJiZmYiLCJ1c2VySWQiOiIyNTM5NTg3MTEifQ==</vt:lpwstr>
  </property>
</Properties>
</file>