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2C8D">
      <w:pPr>
        <w:jc w:val="center"/>
        <w:outlineLvl w:val="9"/>
        <w:rPr>
          <w:b/>
          <w:bCs/>
          <w:color w:val="auto"/>
          <w:sz w:val="28"/>
          <w:szCs w:val="32"/>
          <w:highlight w:val="none"/>
        </w:rPr>
      </w:pPr>
      <w:r>
        <w:rPr>
          <w:rFonts w:hint="eastAsia"/>
          <w:b/>
          <w:bCs/>
          <w:color w:val="auto"/>
          <w:sz w:val="28"/>
          <w:szCs w:val="32"/>
          <w:highlight w:val="none"/>
          <w:lang w:val="en-US" w:eastAsia="zh-CN"/>
        </w:rPr>
        <w:t>广州市第十二人民医院天河院区饭堂运营服务采购项目</w:t>
      </w:r>
      <w:r>
        <w:rPr>
          <w:rFonts w:hint="eastAsia"/>
          <w:b/>
          <w:bCs/>
          <w:color w:val="auto"/>
          <w:sz w:val="28"/>
          <w:szCs w:val="32"/>
          <w:highlight w:val="none"/>
        </w:rPr>
        <w:t>采购需求</w:t>
      </w:r>
    </w:p>
    <w:p w14:paraId="0D237F7D">
      <w:pPr>
        <w:jc w:val="center"/>
        <w:outlineLvl w:val="0"/>
        <w:rPr>
          <w:rFonts w:hint="default" w:ascii="宋体" w:hAnsi="宋体" w:eastAsia="宋体" w:cs="宋体"/>
          <w:color w:val="auto"/>
          <w:sz w:val="24"/>
          <w:szCs w:val="28"/>
          <w:highlight w:val="none"/>
          <w:lang w:val="en-US" w:eastAsia="zh-CN"/>
        </w:rPr>
      </w:pPr>
      <w:r>
        <w:rPr>
          <w:rFonts w:hint="eastAsia" w:ascii="宋体" w:hAnsi="宋体" w:cs="宋体"/>
          <w:b/>
          <w:bCs/>
          <w:color w:val="auto"/>
          <w:sz w:val="28"/>
          <w:szCs w:val="32"/>
          <w:highlight w:val="none"/>
        </w:rPr>
        <w:t>采购清单一览表</w:t>
      </w:r>
    </w:p>
    <w:tbl>
      <w:tblPr>
        <w:tblStyle w:val="9"/>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15"/>
        <w:gridCol w:w="2766"/>
        <w:gridCol w:w="1034"/>
        <w:gridCol w:w="2366"/>
        <w:gridCol w:w="2474"/>
      </w:tblGrid>
      <w:tr w14:paraId="440C0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72" w:hRule="atLeast"/>
          <w:jc w:val="center"/>
        </w:trPr>
        <w:tc>
          <w:tcPr>
            <w:tcW w:w="660" w:type="pct"/>
            <w:noWrap/>
            <w:vAlign w:val="center"/>
          </w:tcPr>
          <w:p w14:paraId="4789273B">
            <w:pPr>
              <w:snapToGrid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采购包</w:t>
            </w:r>
          </w:p>
        </w:tc>
        <w:tc>
          <w:tcPr>
            <w:tcW w:w="1389" w:type="pct"/>
            <w:noWrap/>
            <w:vAlign w:val="center"/>
          </w:tcPr>
          <w:p w14:paraId="7D156E66">
            <w:pPr>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采购内容</w:t>
            </w:r>
          </w:p>
        </w:tc>
        <w:tc>
          <w:tcPr>
            <w:tcW w:w="519" w:type="pct"/>
            <w:noWrap/>
            <w:vAlign w:val="center"/>
          </w:tcPr>
          <w:p w14:paraId="7C0940B4">
            <w:pPr>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1188" w:type="pct"/>
            <w:noWrap/>
            <w:vAlign w:val="center"/>
          </w:tcPr>
          <w:p w14:paraId="424765A9">
            <w:pPr>
              <w:snapToGrid w:val="0"/>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采购预算</w:t>
            </w:r>
          </w:p>
        </w:tc>
        <w:tc>
          <w:tcPr>
            <w:tcW w:w="1242" w:type="pct"/>
            <w:noWrap/>
            <w:vAlign w:val="center"/>
          </w:tcPr>
          <w:p w14:paraId="7B0EF4DE">
            <w:pPr>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服务期</w:t>
            </w:r>
          </w:p>
        </w:tc>
      </w:tr>
      <w:tr w14:paraId="6DC57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660" w:type="pct"/>
            <w:noWrap/>
            <w:vAlign w:val="center"/>
          </w:tcPr>
          <w:p w14:paraId="4F32D9CC">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包1</w:t>
            </w:r>
          </w:p>
        </w:tc>
        <w:tc>
          <w:tcPr>
            <w:tcW w:w="1389" w:type="pct"/>
            <w:noWrap/>
            <w:vAlign w:val="center"/>
          </w:tcPr>
          <w:p w14:paraId="40501EC7">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餐饮服务</w:t>
            </w:r>
          </w:p>
        </w:tc>
        <w:tc>
          <w:tcPr>
            <w:tcW w:w="519" w:type="pct"/>
            <w:noWrap/>
            <w:vAlign w:val="center"/>
          </w:tcPr>
          <w:p w14:paraId="12A855EB">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w:t>
            </w:r>
          </w:p>
        </w:tc>
        <w:tc>
          <w:tcPr>
            <w:tcW w:w="1188" w:type="pct"/>
            <w:noWrap/>
            <w:vAlign w:val="center"/>
          </w:tcPr>
          <w:p w14:paraId="266E316C">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370万元</w:t>
            </w:r>
          </w:p>
        </w:tc>
        <w:tc>
          <w:tcPr>
            <w:tcW w:w="1242" w:type="pct"/>
            <w:noWrap/>
            <w:vAlign w:val="center"/>
          </w:tcPr>
          <w:p w14:paraId="6C6C160D">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自合同签订起</w:t>
            </w:r>
            <w:r>
              <w:rPr>
                <w:rFonts w:hint="eastAsia" w:ascii="宋体" w:hAnsi="宋体" w:eastAsia="宋体" w:cs="宋体"/>
                <w:sz w:val="24"/>
                <w:szCs w:val="24"/>
                <w:highlight w:val="none"/>
                <w:lang w:val="en-US" w:eastAsia="zh-CN"/>
              </w:rPr>
              <w:t>二年</w:t>
            </w:r>
          </w:p>
        </w:tc>
      </w:tr>
      <w:tr w14:paraId="7D5D5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660" w:type="pct"/>
            <w:noWrap/>
            <w:vAlign w:val="center"/>
          </w:tcPr>
          <w:p w14:paraId="48DA8DA6">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包2</w:t>
            </w:r>
          </w:p>
        </w:tc>
        <w:tc>
          <w:tcPr>
            <w:tcW w:w="1389" w:type="pct"/>
            <w:noWrap/>
            <w:vAlign w:val="center"/>
          </w:tcPr>
          <w:p w14:paraId="53221CAB">
            <w:pPr>
              <w:snapToGrid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食材配送</w:t>
            </w:r>
          </w:p>
        </w:tc>
        <w:tc>
          <w:tcPr>
            <w:tcW w:w="519" w:type="pct"/>
            <w:noWrap/>
            <w:vAlign w:val="center"/>
          </w:tcPr>
          <w:p w14:paraId="23E08CAD">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w:t>
            </w:r>
          </w:p>
        </w:tc>
        <w:tc>
          <w:tcPr>
            <w:tcW w:w="1188" w:type="pct"/>
            <w:noWrap/>
            <w:vAlign w:val="center"/>
          </w:tcPr>
          <w:p w14:paraId="7DACDE51">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700万元</w:t>
            </w:r>
          </w:p>
        </w:tc>
        <w:tc>
          <w:tcPr>
            <w:tcW w:w="1242" w:type="pct"/>
            <w:noWrap/>
            <w:vAlign w:val="center"/>
          </w:tcPr>
          <w:p w14:paraId="4E6772B6">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自合同签订起</w:t>
            </w:r>
            <w:r>
              <w:rPr>
                <w:rFonts w:hint="eastAsia" w:ascii="宋体" w:hAnsi="宋体" w:eastAsia="宋体" w:cs="宋体"/>
                <w:sz w:val="24"/>
                <w:szCs w:val="24"/>
                <w:highlight w:val="none"/>
                <w:lang w:val="en-US" w:eastAsia="zh-CN"/>
              </w:rPr>
              <w:t>二年</w:t>
            </w:r>
          </w:p>
        </w:tc>
      </w:tr>
    </w:tbl>
    <w:p w14:paraId="3537A512">
      <w:pPr>
        <w:spacing w:line="360" w:lineRule="auto"/>
        <w:jc w:val="center"/>
        <w:outlineLvl w:val="0"/>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采购包1（</w:t>
      </w:r>
      <w:r>
        <w:rPr>
          <w:rFonts w:hint="eastAsia" w:ascii="宋体" w:hAnsi="宋体" w:eastAsia="宋体" w:cs="宋体"/>
          <w:b/>
          <w:bCs/>
          <w:sz w:val="28"/>
          <w:szCs w:val="28"/>
          <w:highlight w:val="none"/>
        </w:rPr>
        <w:t>餐饮服务</w:t>
      </w:r>
      <w:r>
        <w:rPr>
          <w:rFonts w:hint="eastAsia" w:ascii="宋体" w:hAnsi="宋体" w:eastAsia="宋体" w:cs="宋体"/>
          <w:b/>
          <w:bCs/>
          <w:color w:val="auto"/>
          <w:sz w:val="28"/>
          <w:szCs w:val="32"/>
          <w:highlight w:val="none"/>
        </w:rPr>
        <w:t>）</w:t>
      </w:r>
    </w:p>
    <w:p w14:paraId="79850F61">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一、项目概况</w:t>
      </w:r>
    </w:p>
    <w:p w14:paraId="54996CBF">
      <w:pPr>
        <w:spacing w:line="360" w:lineRule="auto"/>
        <w:rPr>
          <w:rFonts w:hint="eastAsia" w:ascii="宋体" w:hAnsi="宋体" w:eastAsia="宋体" w:cs="宋体"/>
          <w:sz w:val="24"/>
          <w:szCs w:val="24"/>
        </w:rPr>
      </w:pPr>
      <w:r>
        <w:rPr>
          <w:rFonts w:hint="eastAsia" w:ascii="宋体" w:hAnsi="宋体" w:eastAsia="宋体" w:cs="宋体"/>
          <w:sz w:val="24"/>
          <w:szCs w:val="24"/>
        </w:rPr>
        <w:t>广州市第十二人民医院餐饮服务，确定一家中标供应商，为采购人提供餐饮管理服务。</w:t>
      </w:r>
    </w:p>
    <w:p w14:paraId="0259CC15">
      <w:pPr>
        <w:spacing w:line="360" w:lineRule="auto"/>
        <w:rPr>
          <w:rFonts w:hint="eastAsia" w:ascii="宋体" w:hAnsi="宋体" w:eastAsia="宋体" w:cs="宋体"/>
          <w:sz w:val="24"/>
          <w:szCs w:val="24"/>
        </w:rPr>
      </w:pPr>
      <w:r>
        <w:rPr>
          <w:rFonts w:hint="eastAsia" w:ascii="宋体" w:hAnsi="宋体" w:eastAsia="宋体" w:cs="宋体"/>
          <w:sz w:val="24"/>
          <w:szCs w:val="24"/>
        </w:rPr>
        <w:t>广州市第十二人民医院院区地点及概况具体如下：</w:t>
      </w:r>
    </w:p>
    <w:p w14:paraId="3695B357">
      <w:pPr>
        <w:spacing w:line="360" w:lineRule="auto"/>
        <w:rPr>
          <w:rFonts w:hint="eastAsia" w:ascii="宋体" w:hAnsi="宋体" w:eastAsia="宋体" w:cs="宋体"/>
          <w:sz w:val="24"/>
          <w:szCs w:val="24"/>
        </w:rPr>
      </w:pPr>
      <w:r>
        <w:rPr>
          <w:rFonts w:hint="eastAsia" w:ascii="宋体" w:hAnsi="宋体" w:eastAsia="宋体" w:cs="宋体"/>
          <w:sz w:val="24"/>
          <w:szCs w:val="24"/>
        </w:rPr>
        <w:t>（一）广州第十二人民医院服务地点</w:t>
      </w:r>
    </w:p>
    <w:p w14:paraId="4DE00C85">
      <w:pPr>
        <w:spacing w:line="360" w:lineRule="auto"/>
        <w:rPr>
          <w:rFonts w:hint="eastAsia" w:ascii="宋体" w:hAnsi="宋体" w:eastAsia="宋体" w:cs="宋体"/>
          <w:sz w:val="24"/>
          <w:szCs w:val="24"/>
        </w:rPr>
      </w:pPr>
      <w:r>
        <w:rPr>
          <w:rFonts w:hint="eastAsia" w:ascii="宋体" w:hAnsi="宋体" w:eastAsia="宋体" w:cs="宋体"/>
          <w:sz w:val="24"/>
          <w:szCs w:val="24"/>
        </w:rPr>
        <w:t>1.天河院区：广州市天河区黄埔大道西天强路1号</w:t>
      </w:r>
    </w:p>
    <w:p w14:paraId="7215C167">
      <w:pPr>
        <w:spacing w:line="360" w:lineRule="auto"/>
        <w:rPr>
          <w:rFonts w:hint="eastAsia" w:ascii="宋体" w:hAnsi="宋体" w:eastAsia="宋体" w:cs="宋体"/>
          <w:sz w:val="24"/>
          <w:szCs w:val="24"/>
        </w:rPr>
      </w:pPr>
      <w:r>
        <w:rPr>
          <w:rFonts w:hint="eastAsia" w:ascii="宋体" w:hAnsi="宋体" w:eastAsia="宋体" w:cs="宋体"/>
          <w:sz w:val="24"/>
          <w:szCs w:val="24"/>
        </w:rPr>
        <w:t>（二）各服务点用餐人数（仅供参考）</w:t>
      </w:r>
    </w:p>
    <w:p w14:paraId="7057EC7B">
      <w:pPr>
        <w:spacing w:line="360" w:lineRule="auto"/>
        <w:rPr>
          <w:rFonts w:hint="eastAsia" w:ascii="宋体" w:hAnsi="宋体" w:eastAsia="宋体" w:cs="宋体"/>
          <w:sz w:val="24"/>
          <w:szCs w:val="24"/>
        </w:rPr>
      </w:pPr>
      <w:r>
        <w:rPr>
          <w:rFonts w:hint="eastAsia" w:ascii="宋体" w:hAnsi="宋体" w:eastAsia="宋体" w:cs="宋体"/>
          <w:sz w:val="24"/>
          <w:szCs w:val="24"/>
        </w:rPr>
        <w:t>1.天河院区：在职职工约850人，床位数420张、日在院病人约300人；</w:t>
      </w:r>
    </w:p>
    <w:p w14:paraId="44BBE7CE">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二、服务要求</w:t>
      </w:r>
    </w:p>
    <w:p w14:paraId="389C1E4D">
      <w:pPr>
        <w:spacing w:line="360" w:lineRule="auto"/>
        <w:rPr>
          <w:rFonts w:hint="eastAsia" w:ascii="宋体" w:hAnsi="宋体" w:eastAsia="宋体" w:cs="宋体"/>
          <w:sz w:val="24"/>
          <w:szCs w:val="24"/>
        </w:rPr>
      </w:pPr>
      <w:r>
        <w:rPr>
          <w:rFonts w:hint="eastAsia" w:ascii="宋体" w:hAnsi="宋体" w:eastAsia="宋体" w:cs="宋体"/>
          <w:sz w:val="24"/>
          <w:szCs w:val="24"/>
        </w:rPr>
        <w:t>总体要求：在服务期限内，中标供应商必须遵守国家《劳动法》及有关法律、法规，在管理范围内进行餐饮管理服务。</w:t>
      </w:r>
    </w:p>
    <w:p w14:paraId="6ED991BD">
      <w:pPr>
        <w:spacing w:line="360" w:lineRule="auto"/>
        <w:rPr>
          <w:rFonts w:hint="eastAsia" w:ascii="宋体" w:hAnsi="宋体" w:eastAsia="宋体" w:cs="宋体"/>
          <w:sz w:val="24"/>
          <w:szCs w:val="24"/>
        </w:rPr>
      </w:pPr>
      <w:r>
        <w:rPr>
          <w:rFonts w:hint="eastAsia" w:ascii="宋体" w:hAnsi="宋体" w:eastAsia="宋体" w:cs="宋体"/>
          <w:sz w:val="24"/>
          <w:szCs w:val="24"/>
        </w:rPr>
        <w:t>（一）餐饮服务</w:t>
      </w:r>
    </w:p>
    <w:p w14:paraId="64059121">
      <w:pPr>
        <w:spacing w:line="360" w:lineRule="auto"/>
        <w:rPr>
          <w:rFonts w:hint="eastAsia" w:ascii="宋体" w:hAnsi="宋体" w:eastAsia="宋体" w:cs="宋体"/>
          <w:sz w:val="24"/>
          <w:szCs w:val="24"/>
        </w:rPr>
      </w:pPr>
      <w:r>
        <w:rPr>
          <w:rFonts w:hint="eastAsia" w:ascii="宋体" w:hAnsi="宋体" w:eastAsia="宋体" w:cs="宋体"/>
          <w:sz w:val="24"/>
          <w:szCs w:val="24"/>
        </w:rPr>
        <w:t>1.工作内容：为采购人的员工、服务人员、患者、病人陪护（家属）提供配餐服务，为全院病房的患者提供早、中、晚、夜餐的预定、送餐服务、就诊高峰期和特殊季节为医务人员送点心、饮料、凉茶等及医院或使用科室指定的其他工作。负责食堂的餐饮生产、人员服务、质量控制、日常管理工作、流程等。具体包括但不限于：</w:t>
      </w:r>
    </w:p>
    <w:p w14:paraId="1E38A98C">
      <w:pPr>
        <w:spacing w:line="360" w:lineRule="auto"/>
        <w:rPr>
          <w:rFonts w:hint="eastAsia" w:ascii="宋体" w:hAnsi="宋体" w:eastAsia="宋体" w:cs="宋体"/>
          <w:sz w:val="24"/>
          <w:szCs w:val="24"/>
        </w:rPr>
      </w:pPr>
      <w:r>
        <w:rPr>
          <w:rFonts w:hint="eastAsia" w:ascii="宋体" w:hAnsi="宋体" w:eastAsia="宋体" w:cs="宋体"/>
          <w:sz w:val="24"/>
          <w:szCs w:val="24"/>
        </w:rPr>
        <w:t>1.1.各式菜肴的制作（主要是粤菜、湘菜、川菜）；</w:t>
      </w:r>
    </w:p>
    <w:p w14:paraId="42F94391">
      <w:pPr>
        <w:spacing w:line="360" w:lineRule="auto"/>
        <w:rPr>
          <w:rFonts w:hint="eastAsia" w:ascii="宋体" w:hAnsi="宋体" w:eastAsia="宋体" w:cs="宋体"/>
          <w:sz w:val="24"/>
          <w:szCs w:val="24"/>
        </w:rPr>
      </w:pPr>
      <w:r>
        <w:rPr>
          <w:rFonts w:hint="eastAsia" w:ascii="宋体" w:hAnsi="宋体" w:eastAsia="宋体" w:cs="宋体"/>
          <w:sz w:val="24"/>
          <w:szCs w:val="24"/>
        </w:rPr>
        <w:t>1.2.各式中西式点心的制作；</w:t>
      </w:r>
    </w:p>
    <w:p w14:paraId="09411AC8">
      <w:pPr>
        <w:spacing w:line="360" w:lineRule="auto"/>
        <w:rPr>
          <w:rFonts w:hint="eastAsia" w:ascii="宋体" w:hAnsi="宋体" w:eastAsia="宋体" w:cs="宋体"/>
          <w:sz w:val="24"/>
          <w:szCs w:val="24"/>
        </w:rPr>
      </w:pPr>
      <w:r>
        <w:rPr>
          <w:rFonts w:hint="eastAsia" w:ascii="宋体" w:hAnsi="宋体" w:eastAsia="宋体" w:cs="宋体"/>
          <w:sz w:val="24"/>
          <w:szCs w:val="24"/>
        </w:rPr>
        <w:t>1.3.配餐、送餐及订餐收集等；病房营养餐和治疗营养餐的订餐制作与配送；</w:t>
      </w:r>
    </w:p>
    <w:p w14:paraId="135497C0">
      <w:pPr>
        <w:spacing w:line="360" w:lineRule="auto"/>
        <w:rPr>
          <w:rFonts w:hint="eastAsia" w:ascii="宋体" w:hAnsi="宋体" w:eastAsia="宋体" w:cs="宋体"/>
          <w:sz w:val="24"/>
          <w:szCs w:val="24"/>
        </w:rPr>
      </w:pPr>
      <w:r>
        <w:rPr>
          <w:rFonts w:hint="eastAsia" w:ascii="宋体" w:hAnsi="宋体" w:eastAsia="宋体" w:cs="宋体"/>
          <w:sz w:val="24"/>
          <w:szCs w:val="24"/>
        </w:rPr>
        <w:t>1.4.各类食品、食物的粗加工（洗菜、切菜、调料等）；</w:t>
      </w:r>
    </w:p>
    <w:p w14:paraId="0A40B4E2">
      <w:pPr>
        <w:spacing w:line="360" w:lineRule="auto"/>
        <w:rPr>
          <w:rFonts w:hint="eastAsia" w:ascii="宋体" w:hAnsi="宋体" w:eastAsia="宋体" w:cs="宋体"/>
          <w:sz w:val="24"/>
          <w:szCs w:val="24"/>
        </w:rPr>
      </w:pPr>
      <w:r>
        <w:rPr>
          <w:rFonts w:hint="eastAsia" w:ascii="宋体" w:hAnsi="宋体" w:eastAsia="宋体" w:cs="宋体"/>
          <w:sz w:val="24"/>
          <w:szCs w:val="24"/>
        </w:rPr>
        <w:t>1.5.蒸饭、蒸菜、煲汤、糖水、凉茶等；</w:t>
      </w:r>
    </w:p>
    <w:p w14:paraId="6503C47E">
      <w:pPr>
        <w:spacing w:line="360" w:lineRule="auto"/>
        <w:rPr>
          <w:rFonts w:hint="eastAsia" w:ascii="宋体" w:hAnsi="宋体" w:eastAsia="宋体" w:cs="宋体"/>
          <w:sz w:val="24"/>
          <w:szCs w:val="24"/>
        </w:rPr>
      </w:pPr>
      <w:r>
        <w:rPr>
          <w:rFonts w:hint="eastAsia" w:ascii="宋体" w:hAnsi="宋体" w:eastAsia="宋体" w:cs="宋体"/>
          <w:sz w:val="24"/>
          <w:szCs w:val="24"/>
        </w:rPr>
        <w:t>1.6.精心调配各式主副食菜谱，依据营养师安排做好营养配餐和特殊饮食工作；</w:t>
      </w:r>
    </w:p>
    <w:p w14:paraId="5F30826A">
      <w:pPr>
        <w:spacing w:line="360" w:lineRule="auto"/>
        <w:rPr>
          <w:rFonts w:hint="eastAsia" w:ascii="宋体" w:hAnsi="宋体" w:eastAsia="宋体" w:cs="宋体"/>
          <w:sz w:val="24"/>
          <w:szCs w:val="24"/>
        </w:rPr>
      </w:pPr>
      <w:r>
        <w:rPr>
          <w:rFonts w:hint="eastAsia" w:ascii="宋体" w:hAnsi="宋体" w:eastAsia="宋体" w:cs="宋体"/>
          <w:sz w:val="24"/>
          <w:szCs w:val="24"/>
        </w:rPr>
        <w:t>1.7.食堂窗口卖餐服务；</w:t>
      </w:r>
    </w:p>
    <w:p w14:paraId="4882B537">
      <w:pPr>
        <w:spacing w:line="360" w:lineRule="auto"/>
        <w:rPr>
          <w:rFonts w:hint="eastAsia" w:ascii="宋体" w:hAnsi="宋体" w:eastAsia="宋体" w:cs="宋体"/>
          <w:sz w:val="24"/>
          <w:szCs w:val="24"/>
        </w:rPr>
      </w:pPr>
      <w:r>
        <w:rPr>
          <w:rFonts w:hint="eastAsia" w:ascii="宋体" w:hAnsi="宋体" w:eastAsia="宋体" w:cs="宋体"/>
          <w:sz w:val="24"/>
          <w:szCs w:val="24"/>
        </w:rPr>
        <w:t>1.8.院领导接待餐、小餐厅服务；</w:t>
      </w:r>
    </w:p>
    <w:p w14:paraId="7209C550">
      <w:pPr>
        <w:spacing w:line="360" w:lineRule="auto"/>
        <w:rPr>
          <w:rFonts w:hint="eastAsia" w:ascii="宋体" w:hAnsi="宋体" w:eastAsia="宋体" w:cs="宋体"/>
          <w:sz w:val="24"/>
          <w:szCs w:val="24"/>
        </w:rPr>
      </w:pPr>
      <w:r>
        <w:rPr>
          <w:rFonts w:hint="eastAsia" w:ascii="宋体" w:hAnsi="宋体" w:eastAsia="宋体" w:cs="宋体"/>
          <w:sz w:val="24"/>
          <w:szCs w:val="24"/>
        </w:rPr>
        <w:t>1.9.熟练操作各式厨具、餐具；采购物资的验收等；</w:t>
      </w:r>
    </w:p>
    <w:p w14:paraId="25A2A7B5">
      <w:pPr>
        <w:spacing w:line="360" w:lineRule="auto"/>
        <w:rPr>
          <w:rFonts w:hint="eastAsia" w:ascii="宋体" w:hAnsi="宋体" w:eastAsia="宋体" w:cs="宋体"/>
          <w:sz w:val="24"/>
          <w:szCs w:val="24"/>
        </w:rPr>
      </w:pPr>
      <w:r>
        <w:rPr>
          <w:rFonts w:hint="eastAsia" w:ascii="宋体" w:hAnsi="宋体" w:eastAsia="宋体" w:cs="宋体"/>
          <w:sz w:val="24"/>
          <w:szCs w:val="24"/>
        </w:rPr>
        <w:t>★1.10.厨具、餐具的收集清洗消毒工作，医院食堂范围内的清洁卫生工作，包括油烟管道的专业清洁；</w:t>
      </w:r>
    </w:p>
    <w:p w14:paraId="3124C97E">
      <w:pPr>
        <w:spacing w:line="360" w:lineRule="auto"/>
        <w:rPr>
          <w:rFonts w:hint="eastAsia" w:ascii="宋体" w:hAnsi="宋体" w:eastAsia="宋体" w:cs="宋体"/>
          <w:sz w:val="24"/>
          <w:szCs w:val="24"/>
        </w:rPr>
      </w:pPr>
      <w:r>
        <w:rPr>
          <w:rFonts w:hint="eastAsia" w:ascii="宋体" w:hAnsi="宋体" w:eastAsia="宋体" w:cs="宋体"/>
          <w:sz w:val="24"/>
          <w:szCs w:val="24"/>
        </w:rPr>
        <w:t>1.11.根据医院的需求，负责医务人员点心餐的派发；根据不同季节情况，负责制作和派发相应饮料（如在气温达到35度或以上时，负责制作和派发清凉饮料和糖水等）。</w:t>
      </w:r>
    </w:p>
    <w:p w14:paraId="56EC3B6E">
      <w:pPr>
        <w:spacing w:line="360" w:lineRule="auto"/>
        <w:rPr>
          <w:rFonts w:hint="eastAsia" w:ascii="宋体" w:hAnsi="宋体" w:eastAsia="宋体" w:cs="宋体"/>
          <w:sz w:val="24"/>
          <w:szCs w:val="24"/>
        </w:rPr>
      </w:pPr>
      <w:r>
        <w:rPr>
          <w:rFonts w:hint="eastAsia" w:ascii="宋体" w:hAnsi="宋体" w:eastAsia="宋体" w:cs="宋体"/>
          <w:sz w:val="24"/>
          <w:szCs w:val="24"/>
        </w:rPr>
        <w:t>1.12.经常开展热情服务、微笑服务的检查评比及服务满意度的调查反馈工作。</w:t>
      </w:r>
    </w:p>
    <w:p w14:paraId="50A49DD1">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1.13.厨房油烟管道和楼顶油烟净化器清洗（每两个月一次）。</w:t>
      </w:r>
    </w:p>
    <w:p w14:paraId="55FF4C09">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1.14厨余垃圾清理（一天三次）。</w:t>
      </w:r>
    </w:p>
    <w:p w14:paraId="10A7AC88">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1.15油水分离器巡检及其环境卫生清洁（一周一次）。</w:t>
      </w:r>
    </w:p>
    <w:p w14:paraId="349373EF">
      <w:pPr>
        <w:spacing w:line="360" w:lineRule="auto"/>
        <w:rPr>
          <w:rFonts w:hint="eastAsia" w:ascii="宋体" w:hAnsi="宋体" w:eastAsia="宋体" w:cs="宋体"/>
          <w:sz w:val="24"/>
          <w:szCs w:val="24"/>
        </w:rPr>
      </w:pPr>
      <w:r>
        <w:rPr>
          <w:rFonts w:hint="eastAsia" w:ascii="宋体" w:hAnsi="宋体" w:eastAsia="宋体" w:cs="宋体"/>
          <w:sz w:val="24"/>
          <w:szCs w:val="24"/>
        </w:rPr>
        <w:t>2.餐饮服务工作要求</w:t>
      </w:r>
    </w:p>
    <w:p w14:paraId="37ED6761">
      <w:pPr>
        <w:spacing w:line="360" w:lineRule="auto"/>
        <w:rPr>
          <w:rFonts w:hint="eastAsia" w:ascii="宋体" w:hAnsi="宋体" w:eastAsia="宋体" w:cs="宋体"/>
          <w:sz w:val="24"/>
          <w:szCs w:val="24"/>
        </w:rPr>
      </w:pPr>
      <w:r>
        <w:rPr>
          <w:rFonts w:hint="eastAsia" w:ascii="宋体" w:hAnsi="宋体" w:eastAsia="宋体" w:cs="宋体"/>
          <w:sz w:val="24"/>
          <w:szCs w:val="24"/>
        </w:rPr>
        <w:t>2.1.中标人提供员工的工作服（不少于3套用）、工牌及劳保用品和营养室废弃垃圾的清理用品，人员要求统一着装、戴清洁帽、穿水鞋/胶鞋上班，保持干净整洁。</w:t>
      </w:r>
    </w:p>
    <w:p w14:paraId="69C69348">
      <w:pPr>
        <w:spacing w:line="360" w:lineRule="auto"/>
        <w:rPr>
          <w:rFonts w:hint="eastAsia" w:ascii="宋体" w:hAnsi="宋体" w:eastAsia="宋体" w:cs="宋体"/>
          <w:sz w:val="24"/>
          <w:szCs w:val="24"/>
        </w:rPr>
      </w:pPr>
      <w:r>
        <w:rPr>
          <w:rFonts w:hint="eastAsia" w:ascii="宋体" w:hAnsi="宋体" w:eastAsia="宋体" w:cs="宋体"/>
          <w:sz w:val="24"/>
          <w:szCs w:val="24"/>
        </w:rPr>
        <w:t>2.2.所有工作人员要服从医院管理，严格执行医院规章制度并按采购人要求完成各项工作任务。工作上要求能吃苦耐劳，认真细致。严格做好厨具、餐具的收集和清洗消毒工作。</w:t>
      </w:r>
    </w:p>
    <w:p w14:paraId="727646D2">
      <w:pPr>
        <w:spacing w:line="360" w:lineRule="auto"/>
        <w:rPr>
          <w:rFonts w:hint="eastAsia" w:ascii="宋体" w:hAnsi="宋体" w:eastAsia="宋体" w:cs="宋体"/>
          <w:sz w:val="24"/>
          <w:szCs w:val="24"/>
        </w:rPr>
      </w:pPr>
      <w:r>
        <w:rPr>
          <w:rFonts w:hint="eastAsia" w:ascii="宋体" w:hAnsi="宋体" w:eastAsia="宋体" w:cs="宋体"/>
          <w:sz w:val="24"/>
          <w:szCs w:val="24"/>
        </w:rPr>
        <w:t>2.3.订餐员负责每天为病人提供早、中、晚餐的定餐和送餐；保证准点配送，做到不误点、不误餐、不送错餐。</w:t>
      </w:r>
    </w:p>
    <w:p w14:paraId="0ED19617">
      <w:pPr>
        <w:spacing w:line="360" w:lineRule="auto"/>
        <w:rPr>
          <w:rFonts w:hint="eastAsia" w:ascii="宋体" w:hAnsi="宋体" w:eastAsia="宋体" w:cs="宋体"/>
          <w:sz w:val="24"/>
          <w:szCs w:val="24"/>
        </w:rPr>
      </w:pPr>
      <w:r>
        <w:rPr>
          <w:rFonts w:hint="eastAsia" w:ascii="宋体" w:hAnsi="宋体" w:eastAsia="宋体" w:cs="宋体"/>
          <w:sz w:val="24"/>
          <w:szCs w:val="24"/>
        </w:rPr>
        <w:t>2.4.严防食物中毒、火灾、燃气泄漏及其他安全事故，保证人身安全。</w:t>
      </w:r>
    </w:p>
    <w:p w14:paraId="7BB7B5C3">
      <w:pPr>
        <w:spacing w:line="360" w:lineRule="auto"/>
        <w:rPr>
          <w:rFonts w:hint="eastAsia" w:ascii="宋体" w:hAnsi="宋体" w:eastAsia="宋体" w:cs="宋体"/>
          <w:sz w:val="24"/>
          <w:szCs w:val="24"/>
        </w:rPr>
      </w:pPr>
      <w:r>
        <w:rPr>
          <w:rFonts w:hint="eastAsia" w:ascii="宋体" w:hAnsi="宋体" w:eastAsia="宋体" w:cs="宋体"/>
          <w:sz w:val="24"/>
          <w:szCs w:val="24"/>
        </w:rPr>
        <w:t>2.5.饭堂窗口卖餐人员及送、配餐人员要求保持良好的形象，礼貌周到，耐心细致，为病人和职工提供热情微笑服务。</w:t>
      </w:r>
    </w:p>
    <w:p w14:paraId="08CD673D">
      <w:pPr>
        <w:spacing w:line="360" w:lineRule="auto"/>
        <w:rPr>
          <w:rFonts w:hint="eastAsia" w:ascii="宋体" w:hAnsi="宋体" w:eastAsia="宋体" w:cs="宋体"/>
          <w:sz w:val="24"/>
          <w:szCs w:val="24"/>
        </w:rPr>
      </w:pPr>
      <w:r>
        <w:rPr>
          <w:rFonts w:hint="eastAsia" w:ascii="宋体" w:hAnsi="宋体" w:eastAsia="宋体" w:cs="宋体"/>
          <w:sz w:val="24"/>
          <w:szCs w:val="24"/>
        </w:rPr>
        <w:t>2.6.食品制作人员要求精心制作饭菜及点心等，保证饭菜色香味俱佳。</w:t>
      </w:r>
    </w:p>
    <w:p w14:paraId="720A3FE0">
      <w:pPr>
        <w:spacing w:line="360" w:lineRule="auto"/>
        <w:rPr>
          <w:rFonts w:hint="eastAsia" w:ascii="宋体" w:hAnsi="宋体" w:eastAsia="宋体" w:cs="宋体"/>
          <w:sz w:val="24"/>
          <w:szCs w:val="24"/>
        </w:rPr>
      </w:pPr>
      <w:r>
        <w:rPr>
          <w:rFonts w:hint="eastAsia" w:ascii="宋体" w:hAnsi="宋体" w:eastAsia="宋体" w:cs="宋体"/>
          <w:sz w:val="24"/>
          <w:szCs w:val="24"/>
        </w:rPr>
        <w:t>2.7.工作人员严格按规定时间上班（含夜班），保证食品制作及时完成、开饭及送配餐时间准点，做到不误点、不误餐；订餐的票据、餐车由采购人提供。</w:t>
      </w:r>
    </w:p>
    <w:p w14:paraId="1E72A39F">
      <w:pPr>
        <w:spacing w:line="360" w:lineRule="auto"/>
        <w:rPr>
          <w:rFonts w:hint="eastAsia" w:ascii="宋体" w:hAnsi="宋体" w:eastAsia="宋体" w:cs="宋体"/>
          <w:sz w:val="24"/>
          <w:szCs w:val="24"/>
        </w:rPr>
      </w:pPr>
      <w:r>
        <w:rPr>
          <w:rFonts w:hint="eastAsia" w:ascii="宋体" w:hAnsi="宋体" w:eastAsia="宋体" w:cs="宋体"/>
          <w:sz w:val="24"/>
          <w:szCs w:val="24"/>
        </w:rPr>
        <w:t>2.8职工供餐品种：</w:t>
      </w:r>
    </w:p>
    <w:p w14:paraId="69409DFA">
      <w:pPr>
        <w:spacing w:line="360" w:lineRule="auto"/>
        <w:rPr>
          <w:rFonts w:hint="eastAsia" w:ascii="宋体" w:hAnsi="宋体" w:eastAsia="宋体" w:cs="宋体"/>
          <w:sz w:val="24"/>
          <w:szCs w:val="24"/>
        </w:rPr>
      </w:pPr>
      <w:r>
        <w:rPr>
          <w:rFonts w:hint="eastAsia" w:ascii="宋体" w:hAnsi="宋体" w:eastAsia="宋体" w:cs="宋体"/>
          <w:sz w:val="24"/>
          <w:szCs w:val="24"/>
        </w:rPr>
        <w:t>每周1套菜单，逢周一上新菜单，原则上要求菜式应每周不重样，但热门主菜每周最多可出2次。下周菜单需应在本周四前交采购人职能部门审核，新菜式应先进行试做、试尝，待采购人审核后方可执行。每月创新及推出新菜4款以上。</w:t>
      </w:r>
    </w:p>
    <w:p w14:paraId="74115C2F">
      <w:pPr>
        <w:spacing w:line="360" w:lineRule="auto"/>
        <w:rPr>
          <w:rFonts w:hint="eastAsia" w:ascii="宋体" w:hAnsi="宋体" w:eastAsia="宋体" w:cs="宋体"/>
          <w:sz w:val="24"/>
          <w:szCs w:val="24"/>
        </w:rPr>
      </w:pPr>
      <w:r>
        <w:rPr>
          <w:rFonts w:hint="eastAsia" w:ascii="宋体" w:hAnsi="宋体" w:eastAsia="宋体" w:cs="宋体"/>
          <w:sz w:val="24"/>
          <w:szCs w:val="24"/>
        </w:rPr>
        <w:t>工作日：早餐不少于</w:t>
      </w:r>
      <w:r>
        <w:rPr>
          <w:rFonts w:hint="eastAsia" w:ascii="宋体" w:hAnsi="宋体" w:cs="宋体"/>
          <w:sz w:val="24"/>
          <w:szCs w:val="24"/>
          <w:lang w:val="en-US" w:eastAsia="zh-CN"/>
        </w:rPr>
        <w:t>15</w:t>
      </w:r>
      <w:r>
        <w:rPr>
          <w:rFonts w:hint="eastAsia" w:ascii="宋体" w:hAnsi="宋体" w:eastAsia="宋体" w:cs="宋体"/>
          <w:sz w:val="24"/>
          <w:szCs w:val="24"/>
        </w:rPr>
        <w:t>个品种，午餐不少于12个品种，晚餐不少于10个品种。</w:t>
      </w:r>
    </w:p>
    <w:p w14:paraId="1F80B9C4">
      <w:pPr>
        <w:spacing w:line="360" w:lineRule="auto"/>
        <w:rPr>
          <w:rFonts w:hint="eastAsia" w:ascii="宋体" w:hAnsi="宋体" w:eastAsia="宋体" w:cs="宋体"/>
          <w:sz w:val="24"/>
          <w:szCs w:val="24"/>
        </w:rPr>
      </w:pPr>
      <w:r>
        <w:rPr>
          <w:rFonts w:hint="eastAsia" w:ascii="宋体" w:hAnsi="宋体" w:eastAsia="宋体" w:cs="宋体"/>
          <w:sz w:val="24"/>
          <w:szCs w:val="24"/>
        </w:rPr>
        <w:t>节假日：早餐不少于10个品种，午餐不少于8个品种，晚餐不少于6个品种。</w:t>
      </w:r>
    </w:p>
    <w:p w14:paraId="79385264">
      <w:pPr>
        <w:spacing w:line="360" w:lineRule="auto"/>
        <w:rPr>
          <w:rFonts w:hint="eastAsia" w:ascii="宋体" w:hAnsi="宋体" w:eastAsia="宋体" w:cs="宋体"/>
          <w:sz w:val="24"/>
          <w:szCs w:val="24"/>
        </w:rPr>
      </w:pPr>
      <w:r>
        <w:rPr>
          <w:rFonts w:hint="eastAsia" w:ascii="宋体" w:hAnsi="宋体" w:eastAsia="宋体" w:cs="宋体"/>
          <w:sz w:val="24"/>
          <w:szCs w:val="24"/>
        </w:rPr>
        <w:t>2.9病人供餐需满足糖尿病等特殊病人要求，并且每年举办不少于2次的患者饮食文化活动。</w:t>
      </w:r>
    </w:p>
    <w:p w14:paraId="433CC405">
      <w:pPr>
        <w:spacing w:line="360" w:lineRule="auto"/>
        <w:rPr>
          <w:rFonts w:hint="eastAsia" w:ascii="宋体" w:hAnsi="宋体" w:eastAsia="宋体" w:cs="宋体"/>
          <w:sz w:val="24"/>
          <w:szCs w:val="24"/>
        </w:rPr>
      </w:pPr>
      <w:r>
        <w:rPr>
          <w:rFonts w:hint="eastAsia" w:ascii="宋体" w:hAnsi="宋体" w:eastAsia="宋体" w:cs="宋体"/>
          <w:sz w:val="24"/>
          <w:szCs w:val="24"/>
        </w:rPr>
        <w:t>3．其他配套服务：协助采购人管理餐厅、协助采购人设计和咨询院区餐厅布局、每年约50次医院层面的客餐与接待餐、每年举办不少于2次的饮食文化活动、餐卡收费系统与订餐系统的管理工作等服务。且举办饮食文化活动时，主要项目负责人应由非驻场人员担任。</w:t>
      </w:r>
    </w:p>
    <w:p w14:paraId="1FE272ED">
      <w:pPr>
        <w:spacing w:line="360" w:lineRule="auto"/>
        <w:rPr>
          <w:rFonts w:hint="eastAsia" w:ascii="宋体" w:hAnsi="宋体" w:eastAsia="宋体" w:cs="宋体"/>
          <w:sz w:val="24"/>
          <w:szCs w:val="24"/>
        </w:rPr>
      </w:pPr>
      <w:r>
        <w:rPr>
          <w:rFonts w:hint="eastAsia" w:ascii="宋体" w:hAnsi="宋体" w:eastAsia="宋体" w:cs="宋体"/>
          <w:sz w:val="24"/>
          <w:szCs w:val="24"/>
        </w:rPr>
        <w:t>3.1餐饮人员要履行各主要工作岗位职责（含且不限于以下工作要求，根据采购人需求，进行工作调整，完成采购人要求的其他工作任务）：</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8256"/>
      </w:tblGrid>
      <w:tr w14:paraId="76F7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pct"/>
            <w:noWrap/>
            <w:vAlign w:val="center"/>
          </w:tcPr>
          <w:p w14:paraId="1A19F78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职务</w:t>
            </w:r>
          </w:p>
        </w:tc>
        <w:tc>
          <w:tcPr>
            <w:tcW w:w="4143" w:type="pct"/>
            <w:noWrap/>
            <w:vAlign w:val="center"/>
          </w:tcPr>
          <w:p w14:paraId="1829A01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主要工作职责</w:t>
            </w:r>
          </w:p>
        </w:tc>
      </w:tr>
      <w:tr w14:paraId="14AB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pct"/>
            <w:noWrap/>
            <w:vAlign w:val="center"/>
          </w:tcPr>
          <w:p w14:paraId="3A29CE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4143" w:type="pct"/>
            <w:noWrap/>
            <w:vAlign w:val="center"/>
          </w:tcPr>
          <w:p w14:paraId="1141ECA4">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代表投标人负责管理本项目工作</w:t>
            </w:r>
            <w:r>
              <w:rPr>
                <w:rFonts w:hint="eastAsia" w:ascii="宋体" w:hAnsi="宋体" w:eastAsia="宋体" w:cs="宋体"/>
                <w:sz w:val="24"/>
                <w:szCs w:val="24"/>
                <w:lang w:eastAsia="zh-CN"/>
              </w:rPr>
              <w:t>。</w:t>
            </w:r>
          </w:p>
        </w:tc>
      </w:tr>
      <w:tr w14:paraId="34A1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pct"/>
            <w:noWrap/>
            <w:vAlign w:val="center"/>
          </w:tcPr>
          <w:p w14:paraId="7E050AB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主厨（兼主管）</w:t>
            </w:r>
          </w:p>
        </w:tc>
        <w:tc>
          <w:tcPr>
            <w:tcW w:w="4143" w:type="pct"/>
            <w:noWrap/>
            <w:vAlign w:val="center"/>
          </w:tcPr>
          <w:p w14:paraId="03D08B68">
            <w:pPr>
              <w:spacing w:line="360" w:lineRule="auto"/>
              <w:rPr>
                <w:rFonts w:hint="eastAsia" w:ascii="宋体" w:hAnsi="宋体" w:eastAsia="宋体" w:cs="宋体"/>
                <w:sz w:val="24"/>
                <w:szCs w:val="24"/>
              </w:rPr>
            </w:pPr>
            <w:r>
              <w:rPr>
                <w:rFonts w:hint="eastAsia" w:ascii="宋体" w:hAnsi="宋体" w:eastAsia="宋体" w:cs="宋体"/>
                <w:sz w:val="24"/>
                <w:szCs w:val="24"/>
              </w:rPr>
              <w:t>协助采购人对食堂整体正常运作工作。合理调动科室人员工作安排，业务规范培训、员工考勤、原材料质量和数量监控（每天参与（或指定一位厨师）协同医院管理人员验收并签名），菜肴质量和出品，菜谱编制，科室防火防盗工作，食品和清洁卫生监督，厨房设备用具/厨具的报修和跟进工作。每月必须提交一个新品菜肴。负责对接待小餐厅菜肴的策划、核算和出品，兼与经理共同负责食堂日常运作和工作指导。负责各种原料订单计划。</w:t>
            </w:r>
          </w:p>
        </w:tc>
      </w:tr>
      <w:tr w14:paraId="7615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pct"/>
            <w:noWrap/>
            <w:vAlign w:val="center"/>
          </w:tcPr>
          <w:p w14:paraId="44CA9AD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厨师</w:t>
            </w:r>
          </w:p>
        </w:tc>
        <w:tc>
          <w:tcPr>
            <w:tcW w:w="4143" w:type="pct"/>
            <w:noWrap/>
            <w:vAlign w:val="center"/>
          </w:tcPr>
          <w:p w14:paraId="40F8EF0B">
            <w:pPr>
              <w:spacing w:line="360" w:lineRule="auto"/>
              <w:rPr>
                <w:rFonts w:hint="eastAsia" w:ascii="宋体" w:hAnsi="宋体" w:eastAsia="宋体" w:cs="宋体"/>
                <w:sz w:val="24"/>
                <w:szCs w:val="24"/>
              </w:rPr>
            </w:pPr>
            <w:r>
              <w:rPr>
                <w:rFonts w:hint="eastAsia" w:ascii="宋体" w:hAnsi="宋体" w:eastAsia="宋体" w:cs="宋体"/>
                <w:sz w:val="24"/>
                <w:szCs w:val="24"/>
              </w:rPr>
              <w:t>负责对食堂菜肴的配置和烹饪工作。严把食品卫生质量关，并能根据就餐人数变化及时调整菜肴供应数量。</w:t>
            </w:r>
          </w:p>
        </w:tc>
      </w:tr>
      <w:tr w14:paraId="2AB2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pct"/>
            <w:noWrap/>
            <w:vAlign w:val="center"/>
          </w:tcPr>
          <w:p w14:paraId="21999B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点心组长</w:t>
            </w:r>
          </w:p>
        </w:tc>
        <w:tc>
          <w:tcPr>
            <w:tcW w:w="4143" w:type="pct"/>
            <w:noWrap/>
            <w:vAlign w:val="center"/>
          </w:tcPr>
          <w:p w14:paraId="36A5E5E3">
            <w:pPr>
              <w:spacing w:line="360" w:lineRule="auto"/>
              <w:rPr>
                <w:rFonts w:hint="eastAsia" w:ascii="宋体" w:hAnsi="宋体" w:eastAsia="宋体" w:cs="宋体"/>
                <w:sz w:val="24"/>
                <w:szCs w:val="24"/>
              </w:rPr>
            </w:pPr>
            <w:r>
              <w:rPr>
                <w:rFonts w:hint="eastAsia" w:ascii="宋体" w:hAnsi="宋体" w:eastAsia="宋体" w:cs="宋体"/>
                <w:sz w:val="24"/>
                <w:szCs w:val="24"/>
              </w:rPr>
              <w:t>负责食堂点心师的工作岗位设置及调动，原材料的处理和售点心工作。</w:t>
            </w:r>
          </w:p>
        </w:tc>
      </w:tr>
      <w:tr w14:paraId="32A5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pct"/>
            <w:noWrap/>
            <w:vAlign w:val="center"/>
          </w:tcPr>
          <w:p w14:paraId="608D883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点心师</w:t>
            </w:r>
          </w:p>
        </w:tc>
        <w:tc>
          <w:tcPr>
            <w:tcW w:w="4143" w:type="pct"/>
            <w:noWrap/>
            <w:vAlign w:val="center"/>
          </w:tcPr>
          <w:p w14:paraId="20798CFC">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负责食堂早餐及加餐的点心供应及售卖工作</w:t>
            </w:r>
            <w:r>
              <w:rPr>
                <w:rFonts w:hint="eastAsia" w:ascii="宋体" w:hAnsi="宋体" w:eastAsia="宋体" w:cs="宋体"/>
                <w:sz w:val="24"/>
                <w:szCs w:val="24"/>
                <w:lang w:eastAsia="zh-CN"/>
              </w:rPr>
              <w:t>。</w:t>
            </w:r>
          </w:p>
        </w:tc>
      </w:tr>
      <w:tr w14:paraId="185F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pct"/>
            <w:noWrap/>
            <w:vAlign w:val="center"/>
          </w:tcPr>
          <w:p w14:paraId="338C4F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厨工组长</w:t>
            </w:r>
          </w:p>
        </w:tc>
        <w:tc>
          <w:tcPr>
            <w:tcW w:w="4143" w:type="pct"/>
            <w:noWrap/>
            <w:vAlign w:val="center"/>
          </w:tcPr>
          <w:p w14:paraId="0488BA4C">
            <w:pPr>
              <w:spacing w:line="360" w:lineRule="auto"/>
              <w:rPr>
                <w:rFonts w:hint="eastAsia" w:ascii="宋体" w:hAnsi="宋体" w:eastAsia="宋体" w:cs="宋体"/>
                <w:sz w:val="24"/>
                <w:szCs w:val="24"/>
              </w:rPr>
            </w:pPr>
            <w:r>
              <w:rPr>
                <w:rFonts w:hint="eastAsia" w:ascii="宋体" w:hAnsi="宋体" w:eastAsia="宋体" w:cs="宋体"/>
                <w:sz w:val="24"/>
                <w:szCs w:val="24"/>
              </w:rPr>
              <w:t>负责对食堂厨工的工作岗位设置及调动，原材料的处理和售饭工作。对食堂环境卫生进行监督工作。</w:t>
            </w:r>
          </w:p>
        </w:tc>
      </w:tr>
      <w:tr w14:paraId="5B63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pct"/>
            <w:noWrap/>
            <w:vAlign w:val="center"/>
          </w:tcPr>
          <w:p w14:paraId="7B1380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厨工</w:t>
            </w:r>
          </w:p>
        </w:tc>
        <w:tc>
          <w:tcPr>
            <w:tcW w:w="4143" w:type="pct"/>
            <w:noWrap/>
            <w:vAlign w:val="center"/>
          </w:tcPr>
          <w:p w14:paraId="313F9E47">
            <w:pPr>
              <w:spacing w:line="360" w:lineRule="auto"/>
              <w:rPr>
                <w:rFonts w:hint="eastAsia" w:ascii="宋体" w:hAnsi="宋体" w:eastAsia="宋体" w:cs="宋体"/>
                <w:sz w:val="24"/>
                <w:szCs w:val="24"/>
              </w:rPr>
            </w:pPr>
            <w:r>
              <w:rPr>
                <w:rFonts w:hint="eastAsia" w:ascii="宋体" w:hAnsi="宋体" w:eastAsia="宋体" w:cs="宋体"/>
                <w:sz w:val="24"/>
                <w:szCs w:val="24"/>
              </w:rPr>
              <w:t>负责食品原材料粗加工和细加工的处理工作，送餐及售饭工作，餐厨用具的清洗和消毒。</w:t>
            </w:r>
          </w:p>
        </w:tc>
      </w:tr>
      <w:tr w14:paraId="58CA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pct"/>
            <w:noWrap/>
            <w:vAlign w:val="center"/>
          </w:tcPr>
          <w:p w14:paraId="7078C10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配餐班长</w:t>
            </w:r>
          </w:p>
        </w:tc>
        <w:tc>
          <w:tcPr>
            <w:tcW w:w="4143" w:type="pct"/>
            <w:noWrap/>
            <w:vAlign w:val="center"/>
          </w:tcPr>
          <w:p w14:paraId="1DB755E9">
            <w:pPr>
              <w:spacing w:line="360" w:lineRule="auto"/>
              <w:rPr>
                <w:rFonts w:hint="eastAsia" w:ascii="宋体" w:hAnsi="宋体" w:eastAsia="宋体" w:cs="宋体"/>
                <w:sz w:val="24"/>
                <w:szCs w:val="24"/>
              </w:rPr>
            </w:pPr>
            <w:r>
              <w:rPr>
                <w:rFonts w:hint="eastAsia" w:ascii="宋体" w:hAnsi="宋体" w:eastAsia="宋体" w:cs="宋体"/>
                <w:sz w:val="24"/>
                <w:szCs w:val="24"/>
              </w:rPr>
              <w:t>负责对食堂配餐员的工作岗位设置及调动，原材料的处理和送餐工作。对食堂环境卫生进行监督工作。</w:t>
            </w:r>
          </w:p>
        </w:tc>
      </w:tr>
      <w:tr w14:paraId="0E22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pct"/>
            <w:noWrap/>
            <w:vAlign w:val="center"/>
          </w:tcPr>
          <w:p w14:paraId="406E687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配餐员</w:t>
            </w:r>
          </w:p>
        </w:tc>
        <w:tc>
          <w:tcPr>
            <w:tcW w:w="4143" w:type="pct"/>
            <w:noWrap/>
            <w:vAlign w:val="center"/>
          </w:tcPr>
          <w:p w14:paraId="7F435C24">
            <w:pPr>
              <w:spacing w:line="360" w:lineRule="auto"/>
              <w:rPr>
                <w:rFonts w:hint="eastAsia" w:ascii="宋体" w:hAnsi="宋体" w:eastAsia="宋体" w:cs="宋体"/>
                <w:sz w:val="24"/>
                <w:szCs w:val="24"/>
              </w:rPr>
            </w:pPr>
            <w:r>
              <w:rPr>
                <w:rFonts w:hint="eastAsia" w:ascii="宋体" w:hAnsi="宋体" w:eastAsia="宋体" w:cs="宋体"/>
                <w:sz w:val="24"/>
                <w:szCs w:val="24"/>
              </w:rPr>
              <w:t>负责对病人一日/四餐膳食的粗加工和细加工处理、配置、订餐及送餐工作，餐厨用具的清洗和消毒。</w:t>
            </w:r>
          </w:p>
        </w:tc>
      </w:tr>
      <w:tr w14:paraId="02E2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pct"/>
            <w:noWrap/>
            <w:vAlign w:val="center"/>
          </w:tcPr>
          <w:p w14:paraId="0C29066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文员/</w:t>
            </w:r>
            <w:r>
              <w:rPr>
                <w:rFonts w:hint="eastAsia" w:ascii="宋体" w:hAnsi="宋体" w:cs="宋体"/>
                <w:sz w:val="24"/>
                <w:szCs w:val="24"/>
                <w:lang w:eastAsia="zh-CN"/>
              </w:rPr>
              <w:t>仓管员</w:t>
            </w:r>
          </w:p>
        </w:tc>
        <w:tc>
          <w:tcPr>
            <w:tcW w:w="4143" w:type="pct"/>
            <w:noWrap/>
            <w:vAlign w:val="center"/>
          </w:tcPr>
          <w:p w14:paraId="2F0AFE8B">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负责食堂职工、病人及其它订餐资料的打印及统计工作，协助采购人及主管日常工作的运营，职工收费电脑系统的报修及维护工作。</w:t>
            </w:r>
            <w:r>
              <w:rPr>
                <w:rFonts w:hint="eastAsia" w:ascii="宋体" w:hAnsi="宋体" w:cs="宋体"/>
                <w:sz w:val="24"/>
                <w:szCs w:val="24"/>
                <w:lang w:val="en-US" w:eastAsia="zh-CN"/>
              </w:rPr>
              <w:t>负责每天食材验收和物资出入库管理。</w:t>
            </w:r>
          </w:p>
        </w:tc>
      </w:tr>
    </w:tbl>
    <w:p w14:paraId="387F80C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中央厨房供应条件</w:t>
      </w:r>
    </w:p>
    <w:p w14:paraId="4EBF64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cs="宋体"/>
          <w:color w:val="auto"/>
          <w:sz w:val="24"/>
          <w:szCs w:val="24"/>
          <w:highlight w:val="none"/>
          <w:lang w:eastAsia="zh-CN"/>
        </w:rPr>
        <w:t>如遇到</w:t>
      </w:r>
      <w:r>
        <w:rPr>
          <w:rFonts w:hint="eastAsia" w:ascii="宋体" w:hAnsi="宋体" w:eastAsia="宋体" w:cs="宋体"/>
          <w:color w:val="auto"/>
          <w:sz w:val="24"/>
          <w:szCs w:val="24"/>
          <w:highlight w:val="none"/>
        </w:rPr>
        <w:t>医院拟对厨房进行改造。施工期间由中标人负责供餐，可由其公司所属中央厨房供应，也可由中标人与具备配送资质的餐饮企业签订供餐协议（需报采购人审核同意并备案）供餐，由此产生的一切责任由中标人负责。</w:t>
      </w:r>
    </w:p>
    <w:p w14:paraId="2ED3B4C7">
      <w:pPr>
        <w:spacing w:line="360" w:lineRule="auto"/>
        <w:rPr>
          <w:rFonts w:hint="eastAsia" w:ascii="宋体" w:hAnsi="宋体" w:eastAsia="宋体" w:cs="宋体"/>
          <w:sz w:val="24"/>
          <w:szCs w:val="24"/>
        </w:rPr>
      </w:pPr>
      <w:r>
        <w:rPr>
          <w:rFonts w:hint="eastAsia" w:ascii="宋体" w:hAnsi="宋体" w:eastAsia="宋体" w:cs="宋体"/>
          <w:sz w:val="24"/>
          <w:szCs w:val="24"/>
        </w:rPr>
        <w:t>（二）费用承担原则</w:t>
      </w:r>
    </w:p>
    <w:p w14:paraId="70DE8FF1">
      <w:pPr>
        <w:spacing w:line="360" w:lineRule="auto"/>
        <w:rPr>
          <w:rFonts w:hint="eastAsia" w:ascii="宋体" w:hAnsi="宋体" w:eastAsia="宋体" w:cs="宋体"/>
          <w:sz w:val="24"/>
          <w:szCs w:val="24"/>
        </w:rPr>
      </w:pPr>
      <w:r>
        <w:rPr>
          <w:rFonts w:hint="eastAsia" w:ascii="宋体" w:hAnsi="宋体" w:eastAsia="宋体" w:cs="宋体"/>
          <w:sz w:val="24"/>
          <w:szCs w:val="24"/>
        </w:rPr>
        <w:t>1.以下费用由采购人承担：</w:t>
      </w:r>
    </w:p>
    <w:p w14:paraId="18B45979">
      <w:pPr>
        <w:spacing w:line="360" w:lineRule="auto"/>
        <w:rPr>
          <w:rFonts w:hint="eastAsia" w:ascii="宋体" w:hAnsi="宋体" w:eastAsia="宋体" w:cs="宋体"/>
          <w:sz w:val="24"/>
          <w:szCs w:val="24"/>
        </w:rPr>
      </w:pPr>
      <w:r>
        <w:rPr>
          <w:rFonts w:hint="eastAsia" w:ascii="宋体" w:hAnsi="宋体" w:eastAsia="宋体" w:cs="宋体"/>
          <w:sz w:val="24"/>
          <w:szCs w:val="24"/>
        </w:rPr>
        <w:t>（1）应按招标文件及合同条款相关约定，按时足额支付给中标人每月的服务费。</w:t>
      </w:r>
    </w:p>
    <w:p w14:paraId="0717A83F">
      <w:pPr>
        <w:spacing w:line="360" w:lineRule="auto"/>
        <w:rPr>
          <w:rFonts w:hint="eastAsia" w:ascii="宋体" w:hAnsi="宋体" w:eastAsia="宋体" w:cs="宋体"/>
          <w:sz w:val="24"/>
          <w:szCs w:val="24"/>
        </w:rPr>
      </w:pPr>
      <w:r>
        <w:rPr>
          <w:rFonts w:hint="eastAsia" w:ascii="宋体" w:hAnsi="宋体" w:eastAsia="宋体" w:cs="宋体"/>
          <w:sz w:val="24"/>
          <w:szCs w:val="24"/>
        </w:rPr>
        <w:t>（2）食材（如肉类、家禽、水产、粮油、调料、副食等烹饪所需食材）、一次性餐盒、餐具、水电费、燃气费、机用清洗液、洗洁精、保鲜膜（袋）、纸杯、纸巾等，采购人有其他特殊要求的除外。</w:t>
      </w:r>
    </w:p>
    <w:p w14:paraId="11818293">
      <w:pPr>
        <w:spacing w:line="360" w:lineRule="auto"/>
        <w:rPr>
          <w:rFonts w:hint="eastAsia" w:ascii="宋体" w:hAnsi="宋体" w:eastAsia="宋体" w:cs="宋体"/>
          <w:sz w:val="24"/>
          <w:szCs w:val="24"/>
        </w:rPr>
      </w:pPr>
      <w:r>
        <w:rPr>
          <w:rFonts w:hint="eastAsia" w:ascii="宋体" w:hAnsi="宋体" w:eastAsia="宋体" w:cs="宋体"/>
          <w:sz w:val="24"/>
          <w:szCs w:val="24"/>
        </w:rPr>
        <w:t>（3）收费、烹饪、消防、抽排、监控、洗消、照明、空调等设备及相关维修费。</w:t>
      </w:r>
    </w:p>
    <w:p w14:paraId="0F78C36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（4）场地、家具、厨具、采购人管理人员办公用品及相关维修费。</w:t>
      </w:r>
    </w:p>
    <w:p w14:paraId="18BC66C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（5）物资进销存系统、餐卡收费系统、订餐系统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含打印设备和耗材</w:t>
      </w:r>
      <w:r>
        <w:rPr>
          <w:rFonts w:hint="eastAsia" w:ascii="宋体" w:hAnsi="宋体" w:cs="宋体"/>
          <w:color w:val="auto"/>
          <w:sz w:val="24"/>
          <w:szCs w:val="24"/>
          <w:lang w:eastAsia="zh-CN"/>
        </w:rPr>
        <w:t>）</w:t>
      </w:r>
      <w:r>
        <w:rPr>
          <w:rFonts w:hint="eastAsia" w:ascii="宋体" w:hAnsi="宋体" w:eastAsia="宋体" w:cs="宋体"/>
          <w:color w:val="auto"/>
          <w:sz w:val="24"/>
          <w:szCs w:val="24"/>
        </w:rPr>
        <w:t>、微信公众号。</w:t>
      </w:r>
    </w:p>
    <w:p w14:paraId="63E3A3D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2．以下费用由中标人承担：</w:t>
      </w:r>
    </w:p>
    <w:p w14:paraId="120ADA2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（1）聘请驻场员工的薪资、住宿费、培训费、健康证、工作服饰购置费、劳保用品及其他福利津贴待遇等费用。中标人须保证按照不低于合同约定的薪酬标准发放给员工，采购人有权监管工资发放情况。</w:t>
      </w:r>
    </w:p>
    <w:p w14:paraId="546E6995">
      <w:pPr>
        <w:spacing w:line="360" w:lineRule="auto"/>
        <w:rPr>
          <w:rFonts w:hint="eastAsia" w:ascii="宋体" w:hAnsi="宋体" w:eastAsia="宋体" w:cs="宋体"/>
          <w:sz w:val="24"/>
          <w:szCs w:val="24"/>
        </w:rPr>
      </w:pPr>
      <w:r>
        <w:rPr>
          <w:rFonts w:hint="eastAsia" w:ascii="宋体" w:hAnsi="宋体" w:eastAsia="宋体" w:cs="宋体"/>
          <w:sz w:val="24"/>
          <w:szCs w:val="24"/>
        </w:rPr>
        <w:t>（2）厨房所需的消耗品，如：文具、纸张、帽子、口罩、围裙、手套、水鞋、百洁布、垃圾袋、砧板、刀具、刀架、剪刀、笊篱、锅铲、滤油器、擀面棍、食物夹、量杯、裱花嘴、裱花袋、网纹胶管、清洁用具、洗菜装菜篮子、锅铲、蒸笼、蒸笼盖、蒸笼垫等相关厨房所需消耗品。</w:t>
      </w:r>
    </w:p>
    <w:p w14:paraId="749D2B1B">
      <w:pPr>
        <w:spacing w:line="360" w:lineRule="auto"/>
        <w:rPr>
          <w:rFonts w:hint="eastAsia" w:ascii="宋体" w:hAnsi="宋体" w:eastAsia="宋体" w:cs="宋体"/>
          <w:sz w:val="24"/>
          <w:szCs w:val="24"/>
        </w:rPr>
      </w:pPr>
      <w:r>
        <w:rPr>
          <w:rFonts w:hint="eastAsia" w:ascii="宋体" w:hAnsi="宋体" w:eastAsia="宋体" w:cs="宋体"/>
          <w:sz w:val="24"/>
          <w:szCs w:val="24"/>
        </w:rPr>
        <w:t>（3）餐厅运营所需的相关设备、办公用品与耗材，如：电脑、路由器、打印机、墨盒、文具、纸张、宣传所需软硬设施、社保资料、入职资料等。</w:t>
      </w:r>
    </w:p>
    <w:p w14:paraId="5D2C7535">
      <w:pPr>
        <w:spacing w:line="360" w:lineRule="auto"/>
        <w:rPr>
          <w:rFonts w:hint="eastAsia" w:ascii="宋体" w:hAnsi="宋体" w:eastAsia="宋体" w:cs="宋体"/>
          <w:sz w:val="24"/>
          <w:szCs w:val="24"/>
        </w:rPr>
      </w:pPr>
      <w:r>
        <w:rPr>
          <w:rFonts w:hint="eastAsia" w:ascii="宋体" w:hAnsi="宋体" w:eastAsia="宋体" w:cs="宋体"/>
          <w:sz w:val="24"/>
          <w:szCs w:val="24"/>
        </w:rPr>
        <w:t>（4）举办饮食文化活动所需的额外人力资源、装饰与宣传的相关设计与物料购置。</w:t>
      </w:r>
    </w:p>
    <w:p w14:paraId="2980A55D">
      <w:pPr>
        <w:spacing w:line="360" w:lineRule="auto"/>
        <w:rPr>
          <w:rFonts w:hint="eastAsia" w:ascii="宋体" w:hAnsi="宋体" w:eastAsia="宋体" w:cs="宋体"/>
          <w:sz w:val="24"/>
          <w:szCs w:val="24"/>
        </w:rPr>
      </w:pPr>
      <w:r>
        <w:rPr>
          <w:rFonts w:hint="eastAsia" w:ascii="宋体" w:hAnsi="宋体" w:eastAsia="宋体" w:cs="宋体"/>
          <w:sz w:val="24"/>
          <w:szCs w:val="24"/>
        </w:rPr>
        <w:t>（三）考核要求</w:t>
      </w:r>
    </w:p>
    <w:p w14:paraId="715099AD">
      <w:pPr>
        <w:spacing w:line="360" w:lineRule="auto"/>
        <w:rPr>
          <w:rFonts w:hint="eastAsia" w:ascii="宋体" w:hAnsi="宋体" w:eastAsia="宋体" w:cs="宋体"/>
          <w:sz w:val="24"/>
          <w:szCs w:val="24"/>
        </w:rPr>
      </w:pPr>
      <w:r>
        <w:rPr>
          <w:rFonts w:hint="eastAsia" w:ascii="宋体" w:hAnsi="宋体" w:eastAsia="宋体" w:cs="宋体"/>
          <w:sz w:val="24"/>
          <w:szCs w:val="24"/>
        </w:rPr>
        <w:t>采购人除日常按服务质量与履约监管要求</w:t>
      </w:r>
      <w:r>
        <w:rPr>
          <w:rFonts w:hint="eastAsia" w:ascii="宋体" w:hAnsi="宋体" w:eastAsia="宋体" w:cs="宋体"/>
          <w:sz w:val="24"/>
          <w:szCs w:val="24"/>
          <w:highlight w:val="none"/>
        </w:rPr>
        <w:t>（见本需求书第六条）</w:t>
      </w:r>
      <w:r>
        <w:rPr>
          <w:rFonts w:hint="eastAsia" w:ascii="宋体" w:hAnsi="宋体" w:eastAsia="宋体" w:cs="宋体"/>
          <w:sz w:val="24"/>
          <w:szCs w:val="24"/>
        </w:rPr>
        <w:t>考核外，还将每月对中标人的管理服务进行一次满意度调查，满意度包含患者（占10分）、科室（占50分）、主管部门（占40分）三方的满意度，求和后作为最终满意度得分。日常考核及满意度结果将作为日常扣罚、每月结算、合同终止的重要依据。</w:t>
      </w:r>
    </w:p>
    <w:p w14:paraId="5F2C007D">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三、人员配置要求</w:t>
      </w:r>
    </w:p>
    <w:p w14:paraId="54967B9D">
      <w:pPr>
        <w:spacing w:line="360" w:lineRule="auto"/>
        <w:rPr>
          <w:rFonts w:hint="eastAsia" w:ascii="宋体" w:hAnsi="宋体" w:eastAsia="宋体" w:cs="宋体"/>
          <w:sz w:val="24"/>
          <w:szCs w:val="24"/>
        </w:rPr>
      </w:pPr>
      <w:r>
        <w:rPr>
          <w:rFonts w:hint="eastAsia" w:ascii="宋体" w:hAnsi="宋体" w:eastAsia="宋体" w:cs="宋体"/>
          <w:sz w:val="24"/>
          <w:szCs w:val="24"/>
        </w:rPr>
        <w:t>★（一）岗位配置共：25个。如下表所示：</w:t>
      </w:r>
    </w:p>
    <w:tbl>
      <w:tblPr>
        <w:tblStyle w:val="9"/>
        <w:tblW w:w="7140" w:type="dxa"/>
        <w:jc w:val="center"/>
        <w:tblLayout w:type="autofit"/>
        <w:tblCellMar>
          <w:top w:w="0" w:type="dxa"/>
          <w:left w:w="108" w:type="dxa"/>
          <w:bottom w:w="0" w:type="dxa"/>
          <w:right w:w="108" w:type="dxa"/>
        </w:tblCellMar>
      </w:tblPr>
      <w:tblGrid>
        <w:gridCol w:w="3361"/>
        <w:gridCol w:w="3779"/>
      </w:tblGrid>
      <w:tr w14:paraId="60829528">
        <w:tblPrEx>
          <w:tblCellMar>
            <w:top w:w="0" w:type="dxa"/>
            <w:left w:w="108" w:type="dxa"/>
            <w:bottom w:w="0" w:type="dxa"/>
            <w:right w:w="108" w:type="dxa"/>
          </w:tblCellMar>
        </w:tblPrEx>
        <w:trPr>
          <w:trHeight w:val="285" w:hRule="atLeast"/>
          <w:jc w:val="center"/>
        </w:trPr>
        <w:tc>
          <w:tcPr>
            <w:tcW w:w="3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2417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职位</w:t>
            </w:r>
          </w:p>
        </w:tc>
        <w:tc>
          <w:tcPr>
            <w:tcW w:w="3779" w:type="dxa"/>
            <w:tcBorders>
              <w:top w:val="single" w:color="auto" w:sz="4" w:space="0"/>
              <w:left w:val="nil"/>
              <w:bottom w:val="single" w:color="auto" w:sz="4" w:space="0"/>
              <w:right w:val="single" w:color="auto" w:sz="4" w:space="0"/>
            </w:tcBorders>
            <w:shd w:val="clear" w:color="auto" w:fill="auto"/>
            <w:noWrap/>
            <w:vAlign w:val="center"/>
          </w:tcPr>
          <w:p w14:paraId="4F9A6E9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人数</w:t>
            </w:r>
          </w:p>
        </w:tc>
      </w:tr>
      <w:tr w14:paraId="57D66E62">
        <w:tblPrEx>
          <w:tblCellMar>
            <w:top w:w="0" w:type="dxa"/>
            <w:left w:w="108" w:type="dxa"/>
            <w:bottom w:w="0" w:type="dxa"/>
            <w:right w:w="108" w:type="dxa"/>
          </w:tblCellMar>
        </w:tblPrEx>
        <w:trPr>
          <w:trHeight w:val="285" w:hRule="atLeast"/>
          <w:jc w:val="center"/>
        </w:trPr>
        <w:tc>
          <w:tcPr>
            <w:tcW w:w="3361" w:type="dxa"/>
            <w:tcBorders>
              <w:top w:val="nil"/>
              <w:left w:val="single" w:color="auto" w:sz="4" w:space="0"/>
              <w:bottom w:val="single" w:color="auto" w:sz="4" w:space="0"/>
              <w:right w:val="single" w:color="auto" w:sz="4" w:space="0"/>
            </w:tcBorders>
            <w:shd w:val="clear" w:color="auto" w:fill="auto"/>
            <w:noWrap/>
            <w:vAlign w:val="center"/>
          </w:tcPr>
          <w:p w14:paraId="78FE2F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3779" w:type="dxa"/>
            <w:tcBorders>
              <w:top w:val="nil"/>
              <w:left w:val="nil"/>
              <w:bottom w:val="single" w:color="auto" w:sz="4" w:space="0"/>
              <w:right w:val="single" w:color="auto" w:sz="4" w:space="0"/>
            </w:tcBorders>
            <w:shd w:val="clear" w:color="auto" w:fill="auto"/>
            <w:noWrap/>
            <w:vAlign w:val="center"/>
          </w:tcPr>
          <w:p w14:paraId="7410B14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402A3169">
        <w:tblPrEx>
          <w:tblCellMar>
            <w:top w:w="0" w:type="dxa"/>
            <w:left w:w="108" w:type="dxa"/>
            <w:bottom w:w="0" w:type="dxa"/>
            <w:right w:w="108" w:type="dxa"/>
          </w:tblCellMar>
        </w:tblPrEx>
        <w:trPr>
          <w:trHeight w:val="336" w:hRule="atLeast"/>
          <w:jc w:val="center"/>
        </w:trPr>
        <w:tc>
          <w:tcPr>
            <w:tcW w:w="3361" w:type="dxa"/>
            <w:tcBorders>
              <w:top w:val="nil"/>
              <w:left w:val="single" w:color="auto" w:sz="4" w:space="0"/>
              <w:bottom w:val="single" w:color="auto" w:sz="4" w:space="0"/>
              <w:right w:val="single" w:color="auto" w:sz="4" w:space="0"/>
            </w:tcBorders>
            <w:shd w:val="clear" w:color="auto" w:fill="auto"/>
            <w:noWrap/>
            <w:vAlign w:val="center"/>
          </w:tcPr>
          <w:p w14:paraId="5AA3C36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主厨兼主管</w:t>
            </w:r>
          </w:p>
        </w:tc>
        <w:tc>
          <w:tcPr>
            <w:tcW w:w="3779" w:type="dxa"/>
            <w:tcBorders>
              <w:top w:val="nil"/>
              <w:left w:val="nil"/>
              <w:bottom w:val="single" w:color="auto" w:sz="4" w:space="0"/>
              <w:right w:val="single" w:color="auto" w:sz="4" w:space="0"/>
            </w:tcBorders>
            <w:shd w:val="clear" w:color="auto" w:fill="auto"/>
            <w:noWrap/>
            <w:vAlign w:val="center"/>
          </w:tcPr>
          <w:p w14:paraId="781927E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04313578">
        <w:tblPrEx>
          <w:tblCellMar>
            <w:top w:w="0" w:type="dxa"/>
            <w:left w:w="108" w:type="dxa"/>
            <w:bottom w:w="0" w:type="dxa"/>
            <w:right w:w="108" w:type="dxa"/>
          </w:tblCellMar>
        </w:tblPrEx>
        <w:trPr>
          <w:trHeight w:val="285" w:hRule="atLeast"/>
          <w:jc w:val="center"/>
        </w:trPr>
        <w:tc>
          <w:tcPr>
            <w:tcW w:w="3361" w:type="dxa"/>
            <w:tcBorders>
              <w:top w:val="nil"/>
              <w:left w:val="single" w:color="auto" w:sz="4" w:space="0"/>
              <w:bottom w:val="single" w:color="auto" w:sz="4" w:space="0"/>
              <w:right w:val="single" w:color="auto" w:sz="4" w:space="0"/>
            </w:tcBorders>
            <w:shd w:val="clear" w:color="auto" w:fill="auto"/>
            <w:noWrap/>
            <w:vAlign w:val="center"/>
          </w:tcPr>
          <w:p w14:paraId="71C61A3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厨师</w:t>
            </w:r>
          </w:p>
        </w:tc>
        <w:tc>
          <w:tcPr>
            <w:tcW w:w="3779" w:type="dxa"/>
            <w:tcBorders>
              <w:top w:val="nil"/>
              <w:left w:val="nil"/>
              <w:bottom w:val="single" w:color="auto" w:sz="4" w:space="0"/>
              <w:right w:val="single" w:color="auto" w:sz="4" w:space="0"/>
            </w:tcBorders>
            <w:shd w:val="clear" w:color="auto" w:fill="auto"/>
            <w:noWrap/>
            <w:vAlign w:val="center"/>
          </w:tcPr>
          <w:p w14:paraId="4A8B0B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r>
      <w:tr w14:paraId="4B14A49C">
        <w:tblPrEx>
          <w:tblCellMar>
            <w:top w:w="0" w:type="dxa"/>
            <w:left w:w="108" w:type="dxa"/>
            <w:bottom w:w="0" w:type="dxa"/>
            <w:right w:w="108" w:type="dxa"/>
          </w:tblCellMar>
        </w:tblPrEx>
        <w:trPr>
          <w:trHeight w:val="285" w:hRule="atLeast"/>
          <w:jc w:val="center"/>
        </w:trPr>
        <w:tc>
          <w:tcPr>
            <w:tcW w:w="3361" w:type="dxa"/>
            <w:tcBorders>
              <w:top w:val="nil"/>
              <w:left w:val="single" w:color="auto" w:sz="4" w:space="0"/>
              <w:bottom w:val="single" w:color="auto" w:sz="4" w:space="0"/>
              <w:right w:val="single" w:color="auto" w:sz="4" w:space="0"/>
            </w:tcBorders>
            <w:shd w:val="clear" w:color="auto" w:fill="auto"/>
            <w:noWrap/>
            <w:vAlign w:val="center"/>
          </w:tcPr>
          <w:p w14:paraId="2BED4B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点心组长</w:t>
            </w:r>
          </w:p>
        </w:tc>
        <w:tc>
          <w:tcPr>
            <w:tcW w:w="3779" w:type="dxa"/>
            <w:tcBorders>
              <w:top w:val="nil"/>
              <w:left w:val="nil"/>
              <w:bottom w:val="single" w:color="auto" w:sz="4" w:space="0"/>
              <w:right w:val="single" w:color="auto" w:sz="4" w:space="0"/>
            </w:tcBorders>
            <w:shd w:val="clear" w:color="auto" w:fill="auto"/>
            <w:noWrap/>
            <w:vAlign w:val="center"/>
          </w:tcPr>
          <w:p w14:paraId="70A89E3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37420E76">
        <w:tblPrEx>
          <w:tblCellMar>
            <w:top w:w="0" w:type="dxa"/>
            <w:left w:w="108" w:type="dxa"/>
            <w:bottom w:w="0" w:type="dxa"/>
            <w:right w:w="108" w:type="dxa"/>
          </w:tblCellMar>
        </w:tblPrEx>
        <w:trPr>
          <w:trHeight w:val="285" w:hRule="atLeast"/>
          <w:jc w:val="center"/>
        </w:trPr>
        <w:tc>
          <w:tcPr>
            <w:tcW w:w="3361" w:type="dxa"/>
            <w:tcBorders>
              <w:top w:val="nil"/>
              <w:left w:val="single" w:color="auto" w:sz="4" w:space="0"/>
              <w:bottom w:val="single" w:color="auto" w:sz="4" w:space="0"/>
              <w:right w:val="single" w:color="auto" w:sz="4" w:space="0"/>
            </w:tcBorders>
            <w:shd w:val="clear" w:color="auto" w:fill="auto"/>
            <w:noWrap/>
            <w:vAlign w:val="center"/>
          </w:tcPr>
          <w:p w14:paraId="7045DC9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点心师</w:t>
            </w:r>
          </w:p>
        </w:tc>
        <w:tc>
          <w:tcPr>
            <w:tcW w:w="3779" w:type="dxa"/>
            <w:tcBorders>
              <w:top w:val="nil"/>
              <w:left w:val="nil"/>
              <w:bottom w:val="single" w:color="auto" w:sz="4" w:space="0"/>
              <w:right w:val="single" w:color="auto" w:sz="4" w:space="0"/>
            </w:tcBorders>
            <w:shd w:val="clear" w:color="auto" w:fill="auto"/>
            <w:noWrap/>
            <w:vAlign w:val="center"/>
          </w:tcPr>
          <w:p w14:paraId="5C1F313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r>
      <w:tr w14:paraId="3BF1632E">
        <w:tblPrEx>
          <w:tblCellMar>
            <w:top w:w="0" w:type="dxa"/>
            <w:left w:w="108" w:type="dxa"/>
            <w:bottom w:w="0" w:type="dxa"/>
            <w:right w:w="108" w:type="dxa"/>
          </w:tblCellMar>
        </w:tblPrEx>
        <w:trPr>
          <w:trHeight w:val="285" w:hRule="atLeast"/>
          <w:jc w:val="center"/>
        </w:trPr>
        <w:tc>
          <w:tcPr>
            <w:tcW w:w="3361" w:type="dxa"/>
            <w:tcBorders>
              <w:top w:val="nil"/>
              <w:left w:val="single" w:color="auto" w:sz="4" w:space="0"/>
              <w:bottom w:val="single" w:color="auto" w:sz="4" w:space="0"/>
              <w:right w:val="single" w:color="auto" w:sz="4" w:space="0"/>
            </w:tcBorders>
            <w:shd w:val="clear" w:color="auto" w:fill="auto"/>
            <w:noWrap/>
            <w:vAlign w:val="center"/>
          </w:tcPr>
          <w:p w14:paraId="6FA7F6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厨工组长</w:t>
            </w:r>
          </w:p>
        </w:tc>
        <w:tc>
          <w:tcPr>
            <w:tcW w:w="3779" w:type="dxa"/>
            <w:tcBorders>
              <w:top w:val="nil"/>
              <w:left w:val="nil"/>
              <w:bottom w:val="single" w:color="auto" w:sz="4" w:space="0"/>
              <w:right w:val="single" w:color="auto" w:sz="4" w:space="0"/>
            </w:tcBorders>
            <w:shd w:val="clear" w:color="auto" w:fill="auto"/>
            <w:noWrap/>
            <w:vAlign w:val="center"/>
          </w:tcPr>
          <w:p w14:paraId="30A5D4C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2C05D14F">
        <w:tblPrEx>
          <w:tblCellMar>
            <w:top w:w="0" w:type="dxa"/>
            <w:left w:w="108" w:type="dxa"/>
            <w:bottom w:w="0" w:type="dxa"/>
            <w:right w:w="108" w:type="dxa"/>
          </w:tblCellMar>
        </w:tblPrEx>
        <w:trPr>
          <w:trHeight w:val="285" w:hRule="atLeast"/>
          <w:jc w:val="center"/>
        </w:trPr>
        <w:tc>
          <w:tcPr>
            <w:tcW w:w="3361" w:type="dxa"/>
            <w:tcBorders>
              <w:top w:val="nil"/>
              <w:left w:val="single" w:color="auto" w:sz="4" w:space="0"/>
              <w:bottom w:val="single" w:color="auto" w:sz="4" w:space="0"/>
              <w:right w:val="single" w:color="auto" w:sz="4" w:space="0"/>
            </w:tcBorders>
            <w:shd w:val="clear" w:color="auto" w:fill="auto"/>
            <w:noWrap/>
            <w:vAlign w:val="center"/>
          </w:tcPr>
          <w:p w14:paraId="77F151E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厨工</w:t>
            </w:r>
          </w:p>
        </w:tc>
        <w:tc>
          <w:tcPr>
            <w:tcW w:w="3779" w:type="dxa"/>
            <w:tcBorders>
              <w:top w:val="nil"/>
              <w:left w:val="nil"/>
              <w:bottom w:val="single" w:color="auto" w:sz="4" w:space="0"/>
              <w:right w:val="single" w:color="auto" w:sz="4" w:space="0"/>
            </w:tcBorders>
            <w:shd w:val="clear" w:color="auto" w:fill="auto"/>
            <w:noWrap/>
            <w:vAlign w:val="center"/>
          </w:tcPr>
          <w:p w14:paraId="18852A0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r>
      <w:tr w14:paraId="5EF3331A">
        <w:tblPrEx>
          <w:tblCellMar>
            <w:top w:w="0" w:type="dxa"/>
            <w:left w:w="108" w:type="dxa"/>
            <w:bottom w:w="0" w:type="dxa"/>
            <w:right w:w="108" w:type="dxa"/>
          </w:tblCellMar>
        </w:tblPrEx>
        <w:trPr>
          <w:trHeight w:val="285" w:hRule="atLeast"/>
          <w:jc w:val="center"/>
        </w:trPr>
        <w:tc>
          <w:tcPr>
            <w:tcW w:w="3361" w:type="dxa"/>
            <w:tcBorders>
              <w:top w:val="nil"/>
              <w:left w:val="single" w:color="auto" w:sz="4" w:space="0"/>
              <w:bottom w:val="single" w:color="auto" w:sz="4" w:space="0"/>
              <w:right w:val="single" w:color="auto" w:sz="4" w:space="0"/>
            </w:tcBorders>
            <w:shd w:val="clear" w:color="auto" w:fill="auto"/>
            <w:noWrap/>
            <w:vAlign w:val="center"/>
          </w:tcPr>
          <w:p w14:paraId="604405F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配餐班长</w:t>
            </w:r>
          </w:p>
        </w:tc>
        <w:tc>
          <w:tcPr>
            <w:tcW w:w="3779" w:type="dxa"/>
            <w:tcBorders>
              <w:top w:val="nil"/>
              <w:left w:val="nil"/>
              <w:bottom w:val="single" w:color="auto" w:sz="4" w:space="0"/>
              <w:right w:val="single" w:color="auto" w:sz="4" w:space="0"/>
            </w:tcBorders>
            <w:shd w:val="clear" w:color="auto" w:fill="auto"/>
            <w:noWrap/>
            <w:vAlign w:val="center"/>
          </w:tcPr>
          <w:p w14:paraId="7A2BD11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5CE70F9E">
        <w:tblPrEx>
          <w:tblCellMar>
            <w:top w:w="0" w:type="dxa"/>
            <w:left w:w="108" w:type="dxa"/>
            <w:bottom w:w="0" w:type="dxa"/>
            <w:right w:w="108" w:type="dxa"/>
          </w:tblCellMar>
        </w:tblPrEx>
        <w:trPr>
          <w:trHeight w:val="285" w:hRule="atLeast"/>
          <w:jc w:val="center"/>
        </w:trPr>
        <w:tc>
          <w:tcPr>
            <w:tcW w:w="3361" w:type="dxa"/>
            <w:tcBorders>
              <w:top w:val="nil"/>
              <w:left w:val="single" w:color="auto" w:sz="4" w:space="0"/>
              <w:bottom w:val="single" w:color="auto" w:sz="4" w:space="0"/>
              <w:right w:val="single" w:color="auto" w:sz="4" w:space="0"/>
            </w:tcBorders>
            <w:shd w:val="clear" w:color="auto" w:fill="auto"/>
            <w:noWrap/>
            <w:vAlign w:val="center"/>
          </w:tcPr>
          <w:p w14:paraId="52C5A0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配餐员</w:t>
            </w:r>
          </w:p>
        </w:tc>
        <w:tc>
          <w:tcPr>
            <w:tcW w:w="3779" w:type="dxa"/>
            <w:tcBorders>
              <w:top w:val="nil"/>
              <w:left w:val="nil"/>
              <w:bottom w:val="single" w:color="auto" w:sz="4" w:space="0"/>
              <w:right w:val="single" w:color="auto" w:sz="4" w:space="0"/>
            </w:tcBorders>
            <w:shd w:val="clear" w:color="auto" w:fill="auto"/>
            <w:noWrap/>
            <w:vAlign w:val="center"/>
          </w:tcPr>
          <w:p w14:paraId="04EA02A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r>
      <w:tr w14:paraId="378EB684">
        <w:tblPrEx>
          <w:tblCellMar>
            <w:top w:w="0" w:type="dxa"/>
            <w:left w:w="108" w:type="dxa"/>
            <w:bottom w:w="0" w:type="dxa"/>
            <w:right w:w="108" w:type="dxa"/>
          </w:tblCellMar>
        </w:tblPrEx>
        <w:trPr>
          <w:trHeight w:val="285" w:hRule="atLeast"/>
          <w:jc w:val="center"/>
        </w:trPr>
        <w:tc>
          <w:tcPr>
            <w:tcW w:w="3361" w:type="dxa"/>
            <w:tcBorders>
              <w:top w:val="nil"/>
              <w:left w:val="single" w:color="auto" w:sz="4" w:space="0"/>
              <w:bottom w:val="single" w:color="auto" w:sz="4" w:space="0"/>
              <w:right w:val="single" w:color="auto" w:sz="4" w:space="0"/>
            </w:tcBorders>
            <w:shd w:val="clear" w:color="auto" w:fill="auto"/>
            <w:noWrap/>
            <w:vAlign w:val="center"/>
          </w:tcPr>
          <w:p w14:paraId="0AF6BA5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文员/</w:t>
            </w:r>
            <w:r>
              <w:rPr>
                <w:rFonts w:hint="eastAsia" w:ascii="宋体" w:hAnsi="宋体" w:cs="宋体"/>
                <w:sz w:val="24"/>
                <w:szCs w:val="24"/>
                <w:lang w:eastAsia="zh-CN"/>
              </w:rPr>
              <w:t>仓管</w:t>
            </w:r>
            <w:r>
              <w:rPr>
                <w:rFonts w:hint="eastAsia" w:ascii="宋体" w:hAnsi="宋体" w:cs="宋体"/>
                <w:sz w:val="24"/>
                <w:szCs w:val="24"/>
                <w:lang w:val="en-US" w:eastAsia="zh-CN"/>
              </w:rPr>
              <w:t>员</w:t>
            </w:r>
          </w:p>
        </w:tc>
        <w:tc>
          <w:tcPr>
            <w:tcW w:w="3779" w:type="dxa"/>
            <w:tcBorders>
              <w:top w:val="nil"/>
              <w:left w:val="nil"/>
              <w:bottom w:val="single" w:color="auto" w:sz="4" w:space="0"/>
              <w:right w:val="single" w:color="auto" w:sz="4" w:space="0"/>
            </w:tcBorders>
            <w:shd w:val="clear" w:color="auto" w:fill="auto"/>
            <w:noWrap/>
            <w:vAlign w:val="center"/>
          </w:tcPr>
          <w:p w14:paraId="2478F0D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672B1317">
        <w:tblPrEx>
          <w:tblCellMar>
            <w:top w:w="0" w:type="dxa"/>
            <w:left w:w="108" w:type="dxa"/>
            <w:bottom w:w="0" w:type="dxa"/>
            <w:right w:w="108" w:type="dxa"/>
          </w:tblCellMar>
        </w:tblPrEx>
        <w:trPr>
          <w:trHeight w:val="285" w:hRule="atLeast"/>
          <w:jc w:val="center"/>
        </w:trPr>
        <w:tc>
          <w:tcPr>
            <w:tcW w:w="3361" w:type="dxa"/>
            <w:tcBorders>
              <w:top w:val="nil"/>
              <w:left w:val="single" w:color="auto" w:sz="4" w:space="0"/>
              <w:bottom w:val="single" w:color="auto" w:sz="4" w:space="0"/>
              <w:right w:val="single" w:color="auto" w:sz="4" w:space="0"/>
            </w:tcBorders>
            <w:shd w:val="clear" w:color="auto" w:fill="auto"/>
            <w:noWrap/>
            <w:vAlign w:val="center"/>
          </w:tcPr>
          <w:p w14:paraId="192805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3779" w:type="dxa"/>
            <w:tcBorders>
              <w:top w:val="nil"/>
              <w:left w:val="nil"/>
              <w:bottom w:val="single" w:color="auto" w:sz="4" w:space="0"/>
              <w:right w:val="single" w:color="auto" w:sz="4" w:space="0"/>
            </w:tcBorders>
            <w:shd w:val="clear" w:color="auto" w:fill="auto"/>
            <w:noWrap/>
            <w:vAlign w:val="center"/>
          </w:tcPr>
          <w:p w14:paraId="3FF03C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25</w:t>
            </w:r>
          </w:p>
        </w:tc>
      </w:tr>
    </w:tbl>
    <w:p w14:paraId="6B50A441">
      <w:pPr>
        <w:spacing w:line="360" w:lineRule="auto"/>
        <w:rPr>
          <w:rFonts w:hint="eastAsia" w:ascii="宋体" w:hAnsi="宋体" w:eastAsia="宋体" w:cs="宋体"/>
          <w:sz w:val="24"/>
          <w:szCs w:val="24"/>
        </w:rPr>
      </w:pPr>
      <w:r>
        <w:rPr>
          <w:rFonts w:hint="eastAsia" w:ascii="宋体" w:hAnsi="宋体" w:eastAsia="宋体" w:cs="宋体"/>
          <w:sz w:val="24"/>
          <w:szCs w:val="24"/>
        </w:rPr>
        <w:t>注：最低基本工资为每周6天工作日的基本工资，不含高温费、加班费其他福利费。</w:t>
      </w:r>
    </w:p>
    <w:p w14:paraId="7AFAC9BB">
      <w:pPr>
        <w:spacing w:line="360" w:lineRule="auto"/>
        <w:rPr>
          <w:rFonts w:hint="eastAsia" w:ascii="宋体" w:hAnsi="宋体" w:eastAsia="宋体" w:cs="宋体"/>
          <w:sz w:val="24"/>
          <w:szCs w:val="24"/>
        </w:rPr>
      </w:pPr>
      <w:r>
        <w:rPr>
          <w:rFonts w:hint="eastAsia" w:ascii="宋体" w:hAnsi="宋体" w:eastAsia="宋体" w:cs="宋体"/>
          <w:sz w:val="24"/>
          <w:szCs w:val="24"/>
        </w:rPr>
        <w:t>（二）人员资格要求</w:t>
      </w:r>
    </w:p>
    <w:p w14:paraId="64D3E3BF">
      <w:pPr>
        <w:spacing w:line="360" w:lineRule="auto"/>
        <w:rPr>
          <w:rFonts w:hint="eastAsia" w:ascii="宋体" w:hAnsi="宋体" w:eastAsia="宋体" w:cs="宋体"/>
          <w:sz w:val="24"/>
          <w:szCs w:val="24"/>
        </w:rPr>
      </w:pPr>
      <w:r>
        <w:rPr>
          <w:rFonts w:hint="eastAsia" w:ascii="宋体" w:hAnsi="宋体" w:eastAsia="宋体" w:cs="宋体"/>
          <w:sz w:val="24"/>
          <w:szCs w:val="24"/>
        </w:rPr>
        <w:t>1.项目经理：</w:t>
      </w:r>
      <w:r>
        <w:rPr>
          <w:rFonts w:hint="eastAsia" w:ascii="宋体" w:hAnsi="宋体" w:eastAsia="宋体" w:cs="宋体"/>
          <w:sz w:val="24"/>
          <w:szCs w:val="24"/>
          <w:highlight w:val="none"/>
        </w:rPr>
        <w:t>具备</w:t>
      </w:r>
      <w:r>
        <w:rPr>
          <w:rFonts w:hint="eastAsia"/>
          <w:sz w:val="24"/>
          <w:szCs w:val="24"/>
          <w:lang w:val="en-US" w:eastAsia="zh-CN"/>
        </w:rPr>
        <w:t>两年或以上</w:t>
      </w:r>
      <w:r>
        <w:rPr>
          <w:rFonts w:hint="eastAsia" w:ascii="宋体" w:hAnsi="宋体" w:cs="宋体"/>
          <w:sz w:val="24"/>
          <w:szCs w:val="24"/>
          <w:highlight w:val="none"/>
          <w:lang w:val="en-US" w:eastAsia="zh-CN"/>
        </w:rPr>
        <w:t>饭堂管理运营经验</w:t>
      </w:r>
      <w:r>
        <w:rPr>
          <w:rFonts w:hint="eastAsia" w:ascii="宋体" w:hAnsi="宋体" w:eastAsia="宋体" w:cs="宋体"/>
          <w:sz w:val="24"/>
          <w:szCs w:val="24"/>
        </w:rPr>
        <w:t>，</w:t>
      </w:r>
      <w:r>
        <w:rPr>
          <w:rFonts w:hint="eastAsia" w:ascii="宋体" w:hAnsi="宋体" w:cs="宋体"/>
          <w:sz w:val="24"/>
          <w:szCs w:val="24"/>
          <w:lang w:val="en-US" w:eastAsia="zh-CN"/>
        </w:rPr>
        <w:t>具有</w:t>
      </w:r>
      <w:r>
        <w:rPr>
          <w:rFonts w:hint="eastAsia" w:ascii="宋体" w:hAnsi="宋体" w:eastAsia="宋体" w:cs="宋体"/>
          <w:sz w:val="24"/>
          <w:szCs w:val="24"/>
          <w:lang w:val="en-US" w:eastAsia="zh-CN"/>
        </w:rPr>
        <w:t>食品安全管理员证书或考试合格证明</w:t>
      </w:r>
      <w:r>
        <w:rPr>
          <w:rFonts w:hint="eastAsia" w:ascii="宋体" w:hAnsi="宋体" w:cs="宋体"/>
          <w:sz w:val="24"/>
          <w:szCs w:val="24"/>
          <w:lang w:val="en-US" w:eastAsia="zh-CN"/>
        </w:rPr>
        <w:t>，</w:t>
      </w:r>
      <w:r>
        <w:rPr>
          <w:rFonts w:hint="eastAsia" w:ascii="宋体" w:hAnsi="宋体" w:eastAsia="宋体" w:cs="宋体"/>
          <w:sz w:val="24"/>
          <w:szCs w:val="24"/>
        </w:rPr>
        <w:t>大专以上学历，不得同时兼任其他项目的管理人员。</w:t>
      </w:r>
    </w:p>
    <w:p w14:paraId="6D3BA685">
      <w:pPr>
        <w:spacing w:line="360" w:lineRule="auto"/>
        <w:rPr>
          <w:rFonts w:hint="eastAsia" w:ascii="宋体" w:hAnsi="宋体" w:eastAsia="宋体" w:cs="宋体"/>
          <w:sz w:val="24"/>
          <w:szCs w:val="24"/>
        </w:rPr>
      </w:pPr>
      <w:r>
        <w:rPr>
          <w:rFonts w:hint="eastAsia" w:ascii="宋体" w:hAnsi="宋体" w:eastAsia="宋体" w:cs="宋体"/>
          <w:sz w:val="24"/>
          <w:szCs w:val="24"/>
        </w:rPr>
        <w:t>2.餐饮服务劳务人员</w:t>
      </w:r>
    </w:p>
    <w:p w14:paraId="0CD3D318">
      <w:pPr>
        <w:spacing w:line="360" w:lineRule="auto"/>
        <w:rPr>
          <w:rFonts w:hint="eastAsia" w:ascii="宋体" w:hAnsi="宋体" w:eastAsia="宋体" w:cs="宋体"/>
          <w:sz w:val="24"/>
          <w:szCs w:val="24"/>
        </w:rPr>
      </w:pPr>
      <w:r>
        <w:rPr>
          <w:rFonts w:hint="eastAsia" w:ascii="宋体" w:hAnsi="宋体" w:eastAsia="宋体" w:cs="宋体"/>
          <w:sz w:val="24"/>
          <w:szCs w:val="24"/>
        </w:rPr>
        <w:t>2.1女工：三证（身份证、计生证、健康证，下同）齐全，身体健康，外貌端正，工作态度积极，年龄55岁以下，身高不低于150cm。男工：三证齐全，身体健康，外貌端正，工作态度积极，年龄60岁以下，身高不低于160cm。超过50岁的员工数占所有员工总数的比例不超过30%。</w:t>
      </w:r>
    </w:p>
    <w:p w14:paraId="28EA1B93">
      <w:pPr>
        <w:spacing w:line="360" w:lineRule="auto"/>
        <w:rPr>
          <w:rFonts w:hint="eastAsia" w:ascii="宋体" w:hAnsi="宋体" w:eastAsia="宋体" w:cs="宋体"/>
          <w:sz w:val="24"/>
          <w:szCs w:val="24"/>
        </w:rPr>
      </w:pPr>
      <w:r>
        <w:rPr>
          <w:rFonts w:hint="eastAsia" w:ascii="宋体" w:hAnsi="宋体" w:eastAsia="宋体" w:cs="宋体"/>
          <w:sz w:val="24"/>
          <w:szCs w:val="24"/>
        </w:rPr>
        <w:t>2.2身体健康，上岗前持有健康证，健康证年审和健康培训不少于1（含）次；</w:t>
      </w:r>
    </w:p>
    <w:p w14:paraId="668B710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2.3厨师、点心师须具备两年或以上从事饮食服务经验，主厨要求持有</w:t>
      </w:r>
      <w:r>
        <w:rPr>
          <w:rFonts w:hint="eastAsia" w:ascii="宋体" w:hAnsi="宋体" w:cs="宋体"/>
          <w:sz w:val="24"/>
          <w:szCs w:val="24"/>
          <w:highlight w:val="none"/>
          <w:lang w:val="en-US" w:eastAsia="zh-CN"/>
        </w:rPr>
        <w:t>三级/</w:t>
      </w:r>
      <w:r>
        <w:rPr>
          <w:rFonts w:hint="eastAsia" w:ascii="宋体" w:hAnsi="宋体" w:eastAsia="宋体" w:cs="宋体"/>
          <w:sz w:val="24"/>
          <w:szCs w:val="24"/>
          <w:highlight w:val="none"/>
        </w:rPr>
        <w:t>高级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或以上</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厨师证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中式</w:t>
      </w:r>
      <w:r>
        <w:rPr>
          <w:rFonts w:ascii="Segoe UI" w:hAnsi="Segoe UI" w:eastAsia="Segoe UI" w:cs="Segoe UI"/>
          <w:i w:val="0"/>
          <w:iCs w:val="0"/>
          <w:caps w:val="0"/>
          <w:spacing w:val="0"/>
          <w:sz w:val="24"/>
          <w:szCs w:val="24"/>
          <w:shd w:val="clear" w:fill="FFFFFF"/>
        </w:rPr>
        <w:t>烹调师</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；厨师要求持有</w:t>
      </w:r>
      <w:r>
        <w:rPr>
          <w:rFonts w:hint="eastAsia" w:ascii="宋体" w:hAnsi="宋体" w:cs="宋体"/>
          <w:sz w:val="24"/>
          <w:szCs w:val="24"/>
          <w:highlight w:val="none"/>
          <w:lang w:val="en-US" w:eastAsia="zh-CN"/>
        </w:rPr>
        <w:t>四级/</w:t>
      </w:r>
      <w:r>
        <w:rPr>
          <w:rFonts w:hint="eastAsia" w:ascii="宋体" w:hAnsi="宋体" w:eastAsia="宋体" w:cs="宋体"/>
          <w:sz w:val="24"/>
          <w:szCs w:val="24"/>
          <w:highlight w:val="none"/>
        </w:rPr>
        <w:t>中级</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或以上</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厨师证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中式</w:t>
      </w:r>
      <w:r>
        <w:rPr>
          <w:rFonts w:ascii="Segoe UI" w:hAnsi="Segoe UI" w:eastAsia="Segoe UI" w:cs="Segoe UI"/>
          <w:i w:val="0"/>
          <w:iCs w:val="0"/>
          <w:caps w:val="0"/>
          <w:spacing w:val="0"/>
          <w:sz w:val="24"/>
          <w:szCs w:val="24"/>
          <w:shd w:val="clear" w:fill="FFFFFF"/>
        </w:rPr>
        <w:t>烹调师</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点心师要求持有点心师证，厨师、点心师须能上夜班；蒸饭员要求身体强壮，力气大；配餐员要求形象好、能熟练运用服务用语，能听懂粤语；所有人员都要求经过卫生防控、洗涤消毒等的相关技术培训；不得兼任其他项目工作。</w:t>
      </w:r>
    </w:p>
    <w:p w14:paraId="1E943237">
      <w:pPr>
        <w:spacing w:line="360" w:lineRule="auto"/>
        <w:rPr>
          <w:rFonts w:hint="eastAsia" w:ascii="宋体" w:hAnsi="宋体" w:eastAsia="宋体" w:cs="宋体"/>
          <w:sz w:val="24"/>
          <w:szCs w:val="24"/>
        </w:rPr>
      </w:pPr>
      <w:r>
        <w:rPr>
          <w:rFonts w:hint="eastAsia" w:ascii="宋体" w:hAnsi="宋体" w:eastAsia="宋体" w:cs="宋体"/>
          <w:sz w:val="24"/>
          <w:szCs w:val="24"/>
        </w:rPr>
        <w:t>（三）中标供应商要配置不少于上述所需岗位，可以提出更优化的配置方案。在保质保量完成工作的前提下，允许部分人员兼岗，但到岗总人数不得低于岗位数的80%。</w:t>
      </w:r>
    </w:p>
    <w:p w14:paraId="208BB52F">
      <w:pPr>
        <w:spacing w:line="360" w:lineRule="auto"/>
        <w:rPr>
          <w:rFonts w:hint="eastAsia" w:ascii="宋体" w:hAnsi="宋体" w:eastAsia="宋体" w:cs="宋体"/>
          <w:sz w:val="24"/>
          <w:szCs w:val="24"/>
        </w:rPr>
      </w:pPr>
      <w:r>
        <w:rPr>
          <w:rFonts w:hint="eastAsia" w:ascii="宋体" w:hAnsi="宋体" w:eastAsia="宋体" w:cs="宋体"/>
          <w:sz w:val="24"/>
          <w:szCs w:val="24"/>
        </w:rPr>
        <w:t>（四）饭堂管理员由采购人安排，相关费用由采购人承担。</w:t>
      </w:r>
    </w:p>
    <w:p w14:paraId="782DFF76">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四、管理要求</w:t>
      </w:r>
    </w:p>
    <w:p w14:paraId="0509379C">
      <w:pPr>
        <w:spacing w:line="360" w:lineRule="auto"/>
        <w:rPr>
          <w:rFonts w:hint="eastAsia" w:ascii="宋体" w:hAnsi="宋体" w:eastAsia="宋体" w:cs="宋体"/>
          <w:sz w:val="24"/>
          <w:szCs w:val="24"/>
        </w:rPr>
      </w:pPr>
      <w:r>
        <w:rPr>
          <w:rFonts w:hint="eastAsia" w:ascii="宋体" w:hAnsi="宋体" w:eastAsia="宋体" w:cs="宋体"/>
          <w:sz w:val="24"/>
          <w:szCs w:val="24"/>
        </w:rPr>
        <w:t>（一）管理制度要求</w:t>
      </w:r>
    </w:p>
    <w:p w14:paraId="3833B3C5">
      <w:pPr>
        <w:spacing w:line="360" w:lineRule="auto"/>
        <w:rPr>
          <w:rFonts w:hint="eastAsia" w:ascii="宋体" w:hAnsi="宋体" w:eastAsia="宋体" w:cs="宋体"/>
          <w:sz w:val="24"/>
          <w:szCs w:val="24"/>
        </w:rPr>
      </w:pPr>
      <w:r>
        <w:rPr>
          <w:rFonts w:hint="eastAsia" w:ascii="宋体" w:hAnsi="宋体" w:eastAsia="宋体" w:cs="宋体"/>
          <w:sz w:val="24"/>
          <w:szCs w:val="24"/>
        </w:rPr>
        <w:t>包括但不限于建立以下制度：</w:t>
      </w:r>
    </w:p>
    <w:p w14:paraId="4B119AA2">
      <w:pPr>
        <w:spacing w:line="360" w:lineRule="auto"/>
        <w:rPr>
          <w:rFonts w:hint="eastAsia" w:ascii="宋体" w:hAnsi="宋体" w:eastAsia="宋体" w:cs="宋体"/>
          <w:sz w:val="24"/>
          <w:szCs w:val="24"/>
        </w:rPr>
      </w:pPr>
      <w:r>
        <w:rPr>
          <w:rFonts w:hint="eastAsia" w:ascii="宋体" w:hAnsi="宋体" w:eastAsia="宋体" w:cs="宋体"/>
          <w:sz w:val="24"/>
          <w:szCs w:val="24"/>
        </w:rPr>
        <w:t>1、食品安全管理组织和岗位责任制，明确和落实食品安全责任；</w:t>
      </w:r>
    </w:p>
    <w:p w14:paraId="311A572E">
      <w:pPr>
        <w:spacing w:line="360" w:lineRule="auto"/>
        <w:rPr>
          <w:rFonts w:hint="eastAsia" w:ascii="宋体" w:hAnsi="宋体" w:eastAsia="宋体" w:cs="宋体"/>
          <w:sz w:val="24"/>
          <w:szCs w:val="24"/>
        </w:rPr>
      </w:pPr>
      <w:r>
        <w:rPr>
          <w:rFonts w:hint="eastAsia" w:ascii="宋体" w:hAnsi="宋体" w:eastAsia="宋体" w:cs="宋体"/>
          <w:sz w:val="24"/>
          <w:szCs w:val="24"/>
        </w:rPr>
        <w:t>2、从业人员健康管理制度和健康档案制度；</w:t>
      </w:r>
    </w:p>
    <w:p w14:paraId="32CA987F">
      <w:pPr>
        <w:spacing w:line="360" w:lineRule="auto"/>
        <w:rPr>
          <w:rFonts w:hint="eastAsia" w:ascii="宋体" w:hAnsi="宋体" w:eastAsia="宋体" w:cs="宋体"/>
          <w:sz w:val="24"/>
          <w:szCs w:val="24"/>
        </w:rPr>
      </w:pPr>
      <w:r>
        <w:rPr>
          <w:rFonts w:hint="eastAsia" w:ascii="宋体" w:hAnsi="宋体" w:eastAsia="宋体" w:cs="宋体"/>
          <w:sz w:val="24"/>
          <w:szCs w:val="24"/>
        </w:rPr>
        <w:t>3、采购查验和索证索票制度；</w:t>
      </w:r>
    </w:p>
    <w:p w14:paraId="1A3119B5">
      <w:pPr>
        <w:spacing w:line="360" w:lineRule="auto"/>
        <w:rPr>
          <w:rFonts w:hint="eastAsia" w:ascii="宋体" w:hAnsi="宋体" w:eastAsia="宋体" w:cs="宋体"/>
          <w:sz w:val="24"/>
          <w:szCs w:val="24"/>
        </w:rPr>
      </w:pPr>
      <w:r>
        <w:rPr>
          <w:rFonts w:hint="eastAsia" w:ascii="宋体" w:hAnsi="宋体" w:eastAsia="宋体" w:cs="宋体"/>
          <w:sz w:val="24"/>
          <w:szCs w:val="24"/>
        </w:rPr>
        <w:t>4、消防安全管理制度；</w:t>
      </w:r>
    </w:p>
    <w:p w14:paraId="3742DC52">
      <w:pPr>
        <w:spacing w:line="360" w:lineRule="auto"/>
        <w:rPr>
          <w:rFonts w:hint="eastAsia" w:ascii="宋体" w:hAnsi="宋体" w:eastAsia="宋体" w:cs="宋体"/>
          <w:sz w:val="24"/>
          <w:szCs w:val="24"/>
        </w:rPr>
      </w:pPr>
      <w:r>
        <w:rPr>
          <w:rFonts w:hint="eastAsia" w:ascii="宋体" w:hAnsi="宋体" w:eastAsia="宋体" w:cs="宋体"/>
          <w:sz w:val="24"/>
          <w:szCs w:val="24"/>
        </w:rPr>
        <w:t>5、食物中毒、消防灾害、突发卫生状况、因疫情临时出现封闭情况、设备突然出现故障，食品供应不足等等的应急预案；</w:t>
      </w:r>
    </w:p>
    <w:p w14:paraId="19036FA9">
      <w:pPr>
        <w:spacing w:line="360" w:lineRule="auto"/>
        <w:rPr>
          <w:rFonts w:hint="eastAsia" w:ascii="宋体" w:hAnsi="宋体" w:eastAsia="宋体" w:cs="宋体"/>
          <w:sz w:val="24"/>
          <w:szCs w:val="24"/>
        </w:rPr>
      </w:pPr>
      <w:r>
        <w:rPr>
          <w:rFonts w:hint="eastAsia" w:ascii="宋体" w:hAnsi="宋体" w:eastAsia="宋体" w:cs="宋体"/>
          <w:sz w:val="24"/>
          <w:szCs w:val="24"/>
        </w:rPr>
        <w:t>6、公司内部管理制度及办法（内容包含员工考核奖惩制度）；</w:t>
      </w:r>
    </w:p>
    <w:p w14:paraId="2DA8018C">
      <w:pPr>
        <w:spacing w:line="360" w:lineRule="auto"/>
        <w:rPr>
          <w:rFonts w:hint="eastAsia" w:ascii="宋体" w:hAnsi="宋体" w:eastAsia="宋体" w:cs="宋体"/>
          <w:sz w:val="24"/>
          <w:szCs w:val="24"/>
        </w:rPr>
      </w:pPr>
      <w:r>
        <w:rPr>
          <w:rFonts w:hint="eastAsia" w:ascii="宋体" w:hAnsi="宋体" w:eastAsia="宋体" w:cs="宋体"/>
          <w:sz w:val="24"/>
          <w:szCs w:val="24"/>
        </w:rPr>
        <w:t>（二）供餐标准与出品质量要求：</w:t>
      </w:r>
    </w:p>
    <w:p w14:paraId="10C33FAE">
      <w:pPr>
        <w:spacing w:line="360" w:lineRule="auto"/>
        <w:rPr>
          <w:rFonts w:hint="eastAsia" w:ascii="宋体" w:hAnsi="宋体" w:eastAsia="宋体" w:cs="宋体"/>
          <w:sz w:val="24"/>
          <w:szCs w:val="24"/>
        </w:rPr>
      </w:pPr>
      <w:r>
        <w:rPr>
          <w:rFonts w:hint="eastAsia" w:ascii="宋体" w:hAnsi="宋体" w:eastAsia="宋体" w:cs="宋体"/>
          <w:sz w:val="24"/>
          <w:szCs w:val="24"/>
        </w:rPr>
        <w:t>1.职工餐应包括热菜、凉菜、主食、汤，并提供豆浆、点心等，需要兼顾南北方口味等8大菜系，以粤菜为主，其余菜系为辅，当天午餐与晚餐的菜单不得重复。</w:t>
      </w:r>
    </w:p>
    <w:p w14:paraId="050DF4AC">
      <w:pPr>
        <w:spacing w:line="360" w:lineRule="auto"/>
        <w:rPr>
          <w:rFonts w:hint="eastAsia" w:ascii="宋体" w:hAnsi="宋体" w:eastAsia="宋体" w:cs="宋体"/>
          <w:sz w:val="24"/>
          <w:szCs w:val="24"/>
        </w:rPr>
      </w:pPr>
      <w:r>
        <w:rPr>
          <w:rFonts w:hint="eastAsia" w:ascii="宋体" w:hAnsi="宋体" w:eastAsia="宋体" w:cs="宋体"/>
          <w:sz w:val="24"/>
          <w:szCs w:val="24"/>
        </w:rPr>
        <w:t>1.1职工餐出餐品种：</w:t>
      </w:r>
    </w:p>
    <w:p w14:paraId="143860CB">
      <w:pPr>
        <w:spacing w:line="360" w:lineRule="auto"/>
        <w:rPr>
          <w:rFonts w:hint="eastAsia" w:ascii="宋体" w:hAnsi="宋体" w:eastAsia="宋体" w:cs="宋体"/>
          <w:sz w:val="24"/>
          <w:szCs w:val="24"/>
        </w:rPr>
      </w:pPr>
      <w:r>
        <w:rPr>
          <w:rFonts w:hint="eastAsia" w:ascii="宋体" w:hAnsi="宋体" w:eastAsia="宋体" w:cs="宋体"/>
          <w:sz w:val="24"/>
          <w:szCs w:val="24"/>
        </w:rPr>
        <w:t>工作日：早餐不少于</w:t>
      </w:r>
      <w:r>
        <w:rPr>
          <w:rFonts w:hint="eastAsia" w:ascii="宋体" w:hAnsi="宋体" w:cs="宋体"/>
          <w:sz w:val="24"/>
          <w:szCs w:val="24"/>
          <w:lang w:val="en-US" w:eastAsia="zh-CN"/>
        </w:rPr>
        <w:t>15</w:t>
      </w:r>
      <w:r>
        <w:rPr>
          <w:rFonts w:hint="eastAsia" w:ascii="宋体" w:hAnsi="宋体" w:eastAsia="宋体" w:cs="宋体"/>
          <w:sz w:val="24"/>
          <w:szCs w:val="24"/>
        </w:rPr>
        <w:t>个品种，午餐不少于12个品种，晚餐不少于10个品种。</w:t>
      </w:r>
    </w:p>
    <w:p w14:paraId="69371991">
      <w:pPr>
        <w:spacing w:line="360" w:lineRule="auto"/>
        <w:rPr>
          <w:rFonts w:hint="eastAsia" w:ascii="宋体" w:hAnsi="宋体" w:eastAsia="宋体" w:cs="宋体"/>
          <w:sz w:val="24"/>
          <w:szCs w:val="24"/>
        </w:rPr>
      </w:pPr>
      <w:r>
        <w:rPr>
          <w:rFonts w:hint="eastAsia" w:ascii="宋体" w:hAnsi="宋体" w:eastAsia="宋体" w:cs="宋体"/>
          <w:sz w:val="24"/>
          <w:szCs w:val="24"/>
        </w:rPr>
        <w:t>节假日：早餐不少于10个品种，午餐不少于8个品种，晚餐不少于6个品种。</w:t>
      </w:r>
    </w:p>
    <w:p w14:paraId="7D16502F">
      <w:pPr>
        <w:spacing w:line="360" w:lineRule="auto"/>
        <w:rPr>
          <w:rFonts w:hint="eastAsia" w:ascii="宋体" w:hAnsi="宋体" w:eastAsia="宋体" w:cs="宋体"/>
          <w:sz w:val="24"/>
          <w:szCs w:val="24"/>
        </w:rPr>
      </w:pPr>
      <w:r>
        <w:rPr>
          <w:rFonts w:hint="eastAsia" w:ascii="宋体" w:hAnsi="宋体" w:eastAsia="宋体" w:cs="宋体"/>
          <w:sz w:val="24"/>
          <w:szCs w:val="24"/>
        </w:rPr>
        <w:t>1.2职工餐每周1套菜单，逢周一上新菜单，原则上要求菜式应每周不重样，但热门主菜每周最多可出2次。下周菜单需应在本周四前交采购人职能部门审核，新菜式应先进行试做、试尝，并提交成本分析报告及定价标准，待采购人审核后方可执行。每月创新及推出新菜4款以上（不得在现有菜式基础上仅更换部分原料作为新菜式）。</w:t>
      </w:r>
    </w:p>
    <w:p w14:paraId="5B7B0058">
      <w:pPr>
        <w:spacing w:line="360" w:lineRule="auto"/>
        <w:rPr>
          <w:rFonts w:hint="eastAsia" w:ascii="宋体" w:hAnsi="宋体" w:eastAsia="宋体" w:cs="宋体"/>
          <w:sz w:val="24"/>
          <w:szCs w:val="24"/>
        </w:rPr>
      </w:pPr>
      <w:r>
        <w:rPr>
          <w:rFonts w:hint="eastAsia" w:ascii="宋体" w:hAnsi="宋体" w:eastAsia="宋体" w:cs="宋体"/>
          <w:sz w:val="24"/>
          <w:szCs w:val="24"/>
        </w:rPr>
        <w:t>1.3符合营养、卫生、安全标准，严格执行《中华人民共和国食品安全法》及相关餐饮行业的规定，建立健全卫生管理制度，坚决杜绝食物中毒事件及食品安全事故。</w:t>
      </w:r>
    </w:p>
    <w:p w14:paraId="3C8C2BBC">
      <w:pPr>
        <w:spacing w:line="360" w:lineRule="auto"/>
        <w:rPr>
          <w:rFonts w:hint="eastAsia" w:ascii="宋体" w:hAnsi="宋体" w:eastAsia="宋体" w:cs="宋体"/>
          <w:sz w:val="24"/>
          <w:szCs w:val="24"/>
        </w:rPr>
      </w:pPr>
      <w:r>
        <w:rPr>
          <w:rFonts w:hint="eastAsia" w:ascii="宋体" w:hAnsi="宋体" w:eastAsia="宋体" w:cs="宋体"/>
          <w:sz w:val="24"/>
          <w:szCs w:val="24"/>
        </w:rPr>
        <w:t>1.4出品质量：</w:t>
      </w:r>
    </w:p>
    <w:p w14:paraId="533BEAC3">
      <w:pPr>
        <w:spacing w:line="360" w:lineRule="auto"/>
        <w:rPr>
          <w:rFonts w:hint="eastAsia" w:ascii="宋体" w:hAnsi="宋体" w:eastAsia="宋体" w:cs="宋体"/>
          <w:sz w:val="24"/>
          <w:szCs w:val="24"/>
        </w:rPr>
      </w:pPr>
      <w:r>
        <w:rPr>
          <w:rFonts w:hint="eastAsia" w:ascii="宋体" w:hAnsi="宋体" w:eastAsia="宋体" w:cs="宋体"/>
          <w:sz w:val="24"/>
          <w:szCs w:val="24"/>
        </w:rPr>
        <w:t>1.4.1菜品应不糊、不夹生，软硬适当。色香味俱全，原料新鲜，无过生过熟、无异物，要求菜品体现原汁原味。尤其是海鲜菜肴，口味避免过重（如过咸、过辣、过酸、过甜、过苦更不允许有异味腥、膻、臭味等），不能用调料、大料的味道压住食材本身的味道。</w:t>
      </w:r>
    </w:p>
    <w:p w14:paraId="5CA15ECD">
      <w:pPr>
        <w:spacing w:line="360" w:lineRule="auto"/>
        <w:rPr>
          <w:rFonts w:hint="eastAsia" w:ascii="宋体" w:hAnsi="宋体" w:eastAsia="宋体" w:cs="宋体"/>
          <w:sz w:val="24"/>
          <w:szCs w:val="24"/>
        </w:rPr>
      </w:pPr>
      <w:r>
        <w:rPr>
          <w:rFonts w:hint="eastAsia" w:ascii="宋体" w:hAnsi="宋体" w:eastAsia="宋体" w:cs="宋体"/>
          <w:sz w:val="24"/>
          <w:szCs w:val="24"/>
        </w:rPr>
        <w:t>1.4.2清炒菜必须保证即熟亦脆，色要青绿、口感脆爽，不能炒过，八成煎即可，靠少量复合油（葱姜油、花椒油、麻油、）来体现味道，芡汁要薄要少要均匀、要包住、要有亮度，杜绝青菜出水现象发生。白灼菜口味鲜咸，白灼汁不能太多，浇油要热要少，菜品要整齐美观。上汤菜口味要清鲜、汤汁乳白，原料要2/3浸入汤中，不能出现浮油现象。</w:t>
      </w:r>
    </w:p>
    <w:p w14:paraId="7ADBF998">
      <w:pPr>
        <w:spacing w:line="360" w:lineRule="auto"/>
        <w:rPr>
          <w:rFonts w:hint="eastAsia" w:ascii="宋体" w:hAnsi="宋体" w:eastAsia="宋体" w:cs="宋体"/>
          <w:sz w:val="24"/>
          <w:szCs w:val="24"/>
        </w:rPr>
      </w:pPr>
      <w:r>
        <w:rPr>
          <w:rFonts w:hint="eastAsia" w:ascii="宋体" w:hAnsi="宋体" w:eastAsia="宋体" w:cs="宋体"/>
          <w:sz w:val="24"/>
          <w:szCs w:val="24"/>
        </w:rPr>
        <w:t>1.4.3肉类的菜口味要香而不腻，口感要富有弹性。严禁使用亚硝酸钠等化学原料。严格控制松肉粉、食粉的用量。</w:t>
      </w:r>
    </w:p>
    <w:p w14:paraId="0E236CAF">
      <w:pPr>
        <w:spacing w:line="360" w:lineRule="auto"/>
        <w:rPr>
          <w:rFonts w:hint="eastAsia" w:ascii="宋体" w:hAnsi="宋体" w:eastAsia="宋体" w:cs="宋体"/>
          <w:sz w:val="24"/>
          <w:szCs w:val="24"/>
        </w:rPr>
      </w:pPr>
      <w:r>
        <w:rPr>
          <w:rFonts w:hint="eastAsia" w:ascii="宋体" w:hAnsi="宋体" w:eastAsia="宋体" w:cs="宋体"/>
          <w:sz w:val="24"/>
          <w:szCs w:val="24"/>
        </w:rPr>
        <w:t>1.4.4炸类的菜品要酥，要金黄色，油不能大，不能腻。个别外焦里嫩的菜要保持好原料的水分和鲜嫩度。严格控制炸油的重复使用次数。</w:t>
      </w:r>
    </w:p>
    <w:p w14:paraId="4C500CA5">
      <w:pPr>
        <w:spacing w:line="360" w:lineRule="auto"/>
        <w:rPr>
          <w:rFonts w:hint="eastAsia" w:ascii="宋体" w:hAnsi="宋体" w:eastAsia="宋体" w:cs="宋体"/>
          <w:sz w:val="24"/>
          <w:szCs w:val="24"/>
        </w:rPr>
      </w:pPr>
      <w:r>
        <w:rPr>
          <w:rFonts w:hint="eastAsia" w:ascii="宋体" w:hAnsi="宋体" w:eastAsia="宋体" w:cs="宋体"/>
          <w:sz w:val="24"/>
          <w:szCs w:val="24"/>
        </w:rPr>
        <w:t>1.4.5海鲜类必须新鲜，口味清淡，料味不能浓，保持原汁原味，不能老、咬不动、不能腥。</w:t>
      </w:r>
    </w:p>
    <w:p w14:paraId="08AD1CE4">
      <w:pPr>
        <w:spacing w:line="360" w:lineRule="auto"/>
        <w:rPr>
          <w:rFonts w:hint="eastAsia" w:ascii="宋体" w:hAnsi="宋体" w:eastAsia="宋体" w:cs="宋体"/>
          <w:sz w:val="24"/>
          <w:szCs w:val="24"/>
        </w:rPr>
      </w:pPr>
      <w:r>
        <w:rPr>
          <w:rFonts w:hint="eastAsia" w:ascii="宋体" w:hAnsi="宋体" w:eastAsia="宋体" w:cs="宋体"/>
          <w:sz w:val="24"/>
          <w:szCs w:val="24"/>
        </w:rPr>
        <w:t>1.4.6汤菜的要求</w:t>
      </w:r>
    </w:p>
    <w:p w14:paraId="4D5CD0C9">
      <w:pPr>
        <w:spacing w:line="360" w:lineRule="auto"/>
        <w:rPr>
          <w:rFonts w:hint="eastAsia" w:ascii="宋体" w:hAnsi="宋体" w:eastAsia="宋体" w:cs="宋体"/>
          <w:sz w:val="24"/>
          <w:szCs w:val="24"/>
        </w:rPr>
      </w:pPr>
      <w:r>
        <w:rPr>
          <w:rFonts w:hint="eastAsia" w:ascii="宋体" w:hAnsi="宋体" w:eastAsia="宋体" w:cs="宋体"/>
          <w:sz w:val="24"/>
          <w:szCs w:val="24"/>
        </w:rPr>
        <w:t>1.4.6.1汤菜盛入盛器中不能太满，以8分满或8分半满为宜；</w:t>
      </w:r>
    </w:p>
    <w:p w14:paraId="11AD1C5A">
      <w:pPr>
        <w:spacing w:line="360" w:lineRule="auto"/>
        <w:rPr>
          <w:rFonts w:hint="eastAsia" w:ascii="宋体" w:hAnsi="宋体" w:eastAsia="宋体" w:cs="宋体"/>
          <w:sz w:val="24"/>
          <w:szCs w:val="24"/>
        </w:rPr>
      </w:pPr>
      <w:r>
        <w:rPr>
          <w:rFonts w:hint="eastAsia" w:ascii="宋体" w:hAnsi="宋体" w:eastAsia="宋体" w:cs="宋体"/>
          <w:sz w:val="24"/>
          <w:szCs w:val="24"/>
        </w:rPr>
        <w:t>1.4.6.2汤菜原料和汤的比例，根据菜的性质不同，比例也不同，但是原料的比例不能超过汤的比例；</w:t>
      </w:r>
    </w:p>
    <w:p w14:paraId="6513572E">
      <w:pPr>
        <w:spacing w:line="360" w:lineRule="auto"/>
        <w:rPr>
          <w:rFonts w:hint="eastAsia" w:ascii="宋体" w:hAnsi="宋体" w:eastAsia="宋体" w:cs="宋体"/>
          <w:sz w:val="24"/>
          <w:szCs w:val="24"/>
        </w:rPr>
      </w:pPr>
      <w:r>
        <w:rPr>
          <w:rFonts w:hint="eastAsia" w:ascii="宋体" w:hAnsi="宋体" w:eastAsia="宋体" w:cs="宋体"/>
          <w:sz w:val="24"/>
          <w:szCs w:val="24"/>
        </w:rPr>
        <w:t>1.4.6.3汤菜品：以鲜为主，入口首先体现鲜味而后要体现咸味或其他口味，必须体现原汁原味，不能有油或油绝不能大，要靠汤汁熬出的鲜香味和相关辅料来体现；</w:t>
      </w:r>
    </w:p>
    <w:p w14:paraId="22A98442">
      <w:pPr>
        <w:spacing w:line="360" w:lineRule="auto"/>
        <w:rPr>
          <w:rFonts w:hint="eastAsia" w:ascii="宋体" w:hAnsi="宋体" w:eastAsia="宋体" w:cs="宋体"/>
          <w:sz w:val="24"/>
          <w:szCs w:val="24"/>
        </w:rPr>
      </w:pPr>
      <w:r>
        <w:rPr>
          <w:rFonts w:hint="eastAsia" w:ascii="宋体" w:hAnsi="宋体" w:eastAsia="宋体" w:cs="宋体"/>
          <w:sz w:val="24"/>
          <w:szCs w:val="24"/>
        </w:rPr>
        <w:t>1.4.6.4其他口味汤菜：以突出要求口味为主，但不能太烈，加少量油来体现复合味和香味。</w:t>
      </w:r>
    </w:p>
    <w:p w14:paraId="0466A4F8">
      <w:pPr>
        <w:spacing w:line="360" w:lineRule="auto"/>
        <w:rPr>
          <w:rFonts w:hint="eastAsia" w:ascii="宋体" w:hAnsi="宋体" w:eastAsia="宋体" w:cs="宋体"/>
          <w:sz w:val="24"/>
          <w:szCs w:val="24"/>
        </w:rPr>
      </w:pPr>
      <w:r>
        <w:rPr>
          <w:rFonts w:hint="eastAsia" w:ascii="宋体" w:hAnsi="宋体" w:eastAsia="宋体" w:cs="宋体"/>
          <w:sz w:val="24"/>
          <w:szCs w:val="24"/>
        </w:rPr>
        <w:t>1.4.7切配标准</w:t>
      </w:r>
    </w:p>
    <w:p w14:paraId="3D4A944C">
      <w:pPr>
        <w:spacing w:line="360" w:lineRule="auto"/>
        <w:rPr>
          <w:rFonts w:hint="eastAsia" w:ascii="宋体" w:hAnsi="宋体" w:eastAsia="宋体" w:cs="宋体"/>
          <w:sz w:val="24"/>
          <w:szCs w:val="24"/>
        </w:rPr>
      </w:pPr>
      <w:r>
        <w:rPr>
          <w:rFonts w:hint="eastAsia" w:ascii="宋体" w:hAnsi="宋体" w:eastAsia="宋体" w:cs="宋体"/>
          <w:sz w:val="24"/>
          <w:szCs w:val="24"/>
        </w:rPr>
        <w:t>1.4.7.1切：根据原料性质、菜品要求将原料切出规则的形状并且要均匀一致。</w:t>
      </w:r>
    </w:p>
    <w:p w14:paraId="69F21389">
      <w:pPr>
        <w:spacing w:line="360" w:lineRule="auto"/>
        <w:rPr>
          <w:rFonts w:hint="eastAsia" w:ascii="宋体" w:hAnsi="宋体" w:eastAsia="宋体" w:cs="宋体"/>
          <w:sz w:val="24"/>
          <w:szCs w:val="24"/>
        </w:rPr>
      </w:pPr>
      <w:r>
        <w:rPr>
          <w:rFonts w:hint="eastAsia" w:ascii="宋体" w:hAnsi="宋体" w:eastAsia="宋体" w:cs="宋体"/>
          <w:sz w:val="24"/>
          <w:szCs w:val="24"/>
        </w:rPr>
        <w:t>1.4.7.2配：根据菜品的要求及各种原料的性质在形状、颜色、营养、口感方面做好原料的搭配。禁止因装饰而影响口味，注意点缀用小料、配料、装饰品的口味、液汁不能对菜品有影响。</w:t>
      </w:r>
    </w:p>
    <w:p w14:paraId="47C6DBF7">
      <w:pPr>
        <w:spacing w:line="360" w:lineRule="auto"/>
        <w:rPr>
          <w:rFonts w:hint="eastAsia" w:ascii="宋体" w:hAnsi="宋体" w:eastAsia="宋体" w:cs="宋体"/>
          <w:sz w:val="24"/>
          <w:szCs w:val="24"/>
        </w:rPr>
      </w:pPr>
      <w:r>
        <w:rPr>
          <w:rFonts w:hint="eastAsia" w:ascii="宋体" w:hAnsi="宋体" w:eastAsia="宋体" w:cs="宋体"/>
          <w:sz w:val="24"/>
          <w:szCs w:val="24"/>
        </w:rPr>
        <w:t>1.4.8烹饪标准：体现出原料的本身颜色，以自然色和接近自然色为主。严禁使用色素及任何食品添加剂等。青绿、金黄、酱红、枣红等几色能够增进食欲但关键要新鲜。</w:t>
      </w:r>
    </w:p>
    <w:p w14:paraId="4C7C79F9">
      <w:pPr>
        <w:spacing w:line="360" w:lineRule="auto"/>
        <w:rPr>
          <w:rFonts w:hint="eastAsia" w:ascii="宋体" w:hAnsi="宋体" w:eastAsia="宋体" w:cs="宋体"/>
          <w:sz w:val="24"/>
          <w:szCs w:val="24"/>
        </w:rPr>
      </w:pPr>
      <w:r>
        <w:rPr>
          <w:rFonts w:hint="eastAsia" w:ascii="宋体" w:hAnsi="宋体" w:eastAsia="宋体" w:cs="宋体"/>
          <w:sz w:val="24"/>
          <w:szCs w:val="24"/>
        </w:rPr>
        <w:t>1.4.9装盘要求：盘饰点缀要精致，简单、新鲜、要配合好菜肴的特点，点缀原料要丰富，切记不能因点缀装盘而影响菜品质量，菜品、盘饰要协调一致，要融为一体，雕刻、菜品、大小盘不能有孤立感，注意盘饰与菜肴的比例，起到画龙点睛的作用。</w:t>
      </w:r>
    </w:p>
    <w:p w14:paraId="622B179A">
      <w:pPr>
        <w:spacing w:line="360" w:lineRule="auto"/>
        <w:rPr>
          <w:rFonts w:hint="eastAsia" w:ascii="宋体" w:hAnsi="宋体" w:eastAsia="宋体" w:cs="宋体"/>
          <w:sz w:val="24"/>
          <w:szCs w:val="24"/>
        </w:rPr>
      </w:pPr>
      <w:r>
        <w:rPr>
          <w:rFonts w:hint="eastAsia" w:ascii="宋体" w:hAnsi="宋体" w:eastAsia="宋体" w:cs="宋体"/>
          <w:sz w:val="24"/>
          <w:szCs w:val="24"/>
        </w:rPr>
        <w:t>1.4.10菜品卫生：杜绝异物出现，食品卫生永远是第一要素。青菜要先洗后切，洗前要浸泡30分钟；原料杜绝腐烂、变质、有异物；餐具必须消毒，热菜盘子必须要热或烫手；严格卫生检查程序，坚持检查餐前、餐中、餐后卫生的结果(工装、头发、摩丝、冰箱、消毒、垃圾桶、下水道、洗手液、马斗等)。</w:t>
      </w:r>
    </w:p>
    <w:p w14:paraId="4518F040">
      <w:pPr>
        <w:spacing w:line="360" w:lineRule="auto"/>
        <w:rPr>
          <w:rFonts w:hint="eastAsia" w:ascii="宋体" w:hAnsi="宋体" w:eastAsia="宋体" w:cs="宋体"/>
          <w:sz w:val="24"/>
          <w:szCs w:val="24"/>
        </w:rPr>
      </w:pPr>
      <w:r>
        <w:rPr>
          <w:rFonts w:hint="eastAsia" w:ascii="宋体" w:hAnsi="宋体" w:eastAsia="宋体" w:cs="宋体"/>
          <w:sz w:val="24"/>
          <w:szCs w:val="24"/>
        </w:rPr>
        <w:t>（三）人员工资要求</w:t>
      </w:r>
    </w:p>
    <w:p w14:paraId="50A237BF">
      <w:pPr>
        <w:spacing w:line="360" w:lineRule="auto"/>
        <w:rPr>
          <w:rFonts w:hint="eastAsia" w:ascii="宋体" w:hAnsi="宋体" w:cs="宋体"/>
          <w:strike w:val="0"/>
          <w:dstrike w:val="0"/>
          <w:color w:val="auto"/>
          <w:sz w:val="24"/>
          <w:szCs w:val="24"/>
          <w:highlight w:val="none"/>
          <w:lang w:val="en-US" w:eastAsia="zh-CN"/>
        </w:rPr>
      </w:pPr>
      <w:r>
        <w:rPr>
          <w:rFonts w:hint="eastAsia" w:ascii="宋体" w:hAnsi="宋体" w:cs="宋体"/>
          <w:strike w:val="0"/>
          <w:dstrike w:val="0"/>
          <w:color w:val="auto"/>
          <w:sz w:val="24"/>
          <w:szCs w:val="24"/>
          <w:highlight w:val="none"/>
          <w:lang w:val="en-US" w:eastAsia="zh-CN"/>
        </w:rPr>
        <w:t>★1.中标人须按照《中华人民共和国劳动法》的相关规定发放工资，服务人员工资不得低于广州市企业职工最低工资标准（工资不含按国家规定中标人必须支付的社会保险及其他应付费用）。</w:t>
      </w:r>
    </w:p>
    <w:p w14:paraId="5BFB4A82">
      <w:pPr>
        <w:spacing w:line="36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r>
        <w:rPr>
          <w:rFonts w:hint="eastAsia" w:ascii="宋体" w:hAnsi="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rPr>
        <w:t>.缴交社会保险费用标准：按广州市规定的社会保险缴交基数标准和缴交比例执行。</w:t>
      </w:r>
    </w:p>
    <w:p w14:paraId="59E1F317">
      <w:pPr>
        <w:spacing w:line="36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r>
        <w:rPr>
          <w:rFonts w:hint="eastAsia" w:ascii="宋体" w:hAnsi="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rPr>
        <w:t>.缴存住房公积金标准：</w:t>
      </w:r>
      <w:r>
        <w:rPr>
          <w:rFonts w:hint="eastAsia" w:ascii="宋体" w:hAnsi="宋体" w:cs="宋体"/>
          <w:strike w:val="0"/>
          <w:dstrike w:val="0"/>
          <w:color w:val="auto"/>
          <w:sz w:val="24"/>
          <w:szCs w:val="24"/>
          <w:highlight w:val="none"/>
          <w:lang w:val="en-US" w:eastAsia="zh-CN"/>
        </w:rPr>
        <w:t>中标人</w:t>
      </w:r>
      <w:r>
        <w:rPr>
          <w:rFonts w:hint="eastAsia" w:ascii="宋体" w:hAnsi="宋体" w:eastAsia="宋体" w:cs="宋体"/>
          <w:strike w:val="0"/>
          <w:dstrike w:val="0"/>
          <w:color w:val="auto"/>
          <w:sz w:val="24"/>
          <w:szCs w:val="24"/>
          <w:highlight w:val="none"/>
        </w:rPr>
        <w:t>应按照按国家、省、市有关规定，按不低于职工上一年度月平均工资5%的比例标准，为</w:t>
      </w:r>
      <w:r>
        <w:rPr>
          <w:rFonts w:hint="eastAsia" w:ascii="宋体" w:hAnsi="宋体" w:cs="宋体"/>
          <w:strike w:val="0"/>
          <w:dstrike w:val="0"/>
          <w:color w:val="auto"/>
          <w:sz w:val="24"/>
          <w:szCs w:val="24"/>
          <w:highlight w:val="none"/>
          <w:lang w:val="en-US" w:eastAsia="zh-CN"/>
        </w:rPr>
        <w:t>服务人员</w:t>
      </w:r>
      <w:r>
        <w:rPr>
          <w:rFonts w:hint="eastAsia" w:ascii="宋体" w:hAnsi="宋体" w:eastAsia="宋体" w:cs="宋体"/>
          <w:strike w:val="0"/>
          <w:dstrike w:val="0"/>
          <w:color w:val="auto"/>
          <w:sz w:val="24"/>
          <w:szCs w:val="24"/>
          <w:highlight w:val="none"/>
        </w:rPr>
        <w:t>缴存住房公积金。</w:t>
      </w:r>
    </w:p>
    <w:p w14:paraId="63674BA6">
      <w:pPr>
        <w:spacing w:line="360" w:lineRule="auto"/>
        <w:rPr>
          <w:rFonts w:hint="eastAsia" w:ascii="宋体" w:hAnsi="宋体" w:eastAsia="宋体" w:cs="宋体"/>
          <w:strike w:val="0"/>
          <w:dstrike w:val="0"/>
          <w:color w:val="auto"/>
          <w:sz w:val="24"/>
          <w:szCs w:val="24"/>
          <w:highlight w:val="none"/>
        </w:rPr>
      </w:pPr>
      <w:r>
        <w:rPr>
          <w:rFonts w:hint="eastAsia" w:ascii="宋体" w:hAnsi="宋体" w:cs="宋体"/>
          <w:strike w:val="0"/>
          <w:dstrike w:val="0"/>
          <w:color w:val="auto"/>
          <w:sz w:val="24"/>
          <w:szCs w:val="24"/>
          <w:highlight w:val="none"/>
          <w:lang w:val="en-US" w:eastAsia="zh-CN"/>
        </w:rPr>
        <w:t>4</w:t>
      </w:r>
      <w:r>
        <w:rPr>
          <w:rFonts w:hint="eastAsia" w:ascii="宋体" w:hAnsi="宋体" w:eastAsia="宋体" w:cs="宋体"/>
          <w:strike w:val="0"/>
          <w:dstrike w:val="0"/>
          <w:color w:val="auto"/>
          <w:sz w:val="24"/>
          <w:szCs w:val="24"/>
          <w:highlight w:val="none"/>
        </w:rPr>
        <w:t>.招标文件中设定岗位以外的人员，如中标人认为需要增加，费用由中标人负责，此费用不含在本次招标范围之内。</w:t>
      </w:r>
    </w:p>
    <w:p w14:paraId="43116D06">
      <w:pPr>
        <w:spacing w:line="360" w:lineRule="auto"/>
        <w:rPr>
          <w:rFonts w:hint="eastAsia" w:ascii="宋体" w:hAnsi="宋体" w:eastAsia="宋体" w:cs="宋体"/>
          <w:strike w:val="0"/>
          <w:dstrike w:val="0"/>
          <w:color w:val="auto"/>
          <w:sz w:val="24"/>
          <w:szCs w:val="24"/>
          <w:highlight w:val="none"/>
        </w:rPr>
      </w:pPr>
      <w:r>
        <w:rPr>
          <w:rFonts w:hint="eastAsia" w:ascii="宋体"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rPr>
        <w:t>.对于夜班的岗位，</w:t>
      </w:r>
      <w:r>
        <w:rPr>
          <w:rFonts w:hint="eastAsia" w:ascii="宋体" w:hAnsi="宋体" w:cs="宋体"/>
          <w:strike w:val="0"/>
          <w:dstrike w:val="0"/>
          <w:color w:val="auto"/>
          <w:sz w:val="24"/>
          <w:szCs w:val="24"/>
          <w:highlight w:val="none"/>
          <w:lang w:val="en-US" w:eastAsia="zh-CN"/>
        </w:rPr>
        <w:t>投标人</w:t>
      </w:r>
      <w:r>
        <w:rPr>
          <w:rFonts w:hint="eastAsia" w:ascii="宋体" w:hAnsi="宋体" w:eastAsia="宋体" w:cs="宋体"/>
          <w:strike w:val="0"/>
          <w:dstrike w:val="0"/>
          <w:color w:val="auto"/>
          <w:sz w:val="24"/>
          <w:szCs w:val="24"/>
          <w:highlight w:val="none"/>
        </w:rPr>
        <w:t>应该考虑相关费用，采购人并不另外支付该部分费用。</w:t>
      </w:r>
    </w:p>
    <w:p w14:paraId="7C315255">
      <w:pPr>
        <w:spacing w:line="360" w:lineRule="auto"/>
        <w:rPr>
          <w:rFonts w:hint="eastAsia" w:ascii="宋体" w:hAnsi="宋体" w:eastAsia="宋体" w:cs="宋体"/>
          <w:strike w:val="0"/>
          <w:dstrike w:val="0"/>
          <w:color w:val="auto"/>
          <w:sz w:val="24"/>
          <w:szCs w:val="24"/>
          <w:highlight w:val="none"/>
        </w:rPr>
      </w:pPr>
      <w:r>
        <w:rPr>
          <w:rFonts w:hint="eastAsia" w:ascii="宋体" w:hAnsi="宋体" w:cs="宋体"/>
          <w:strike w:val="0"/>
          <w:dstrike w:val="0"/>
          <w:color w:val="auto"/>
          <w:sz w:val="24"/>
          <w:szCs w:val="24"/>
          <w:highlight w:val="none"/>
          <w:lang w:val="en-US" w:eastAsia="zh-CN"/>
        </w:rPr>
        <w:t>6</w:t>
      </w:r>
      <w:r>
        <w:rPr>
          <w:rFonts w:hint="eastAsia" w:ascii="宋体" w:hAnsi="宋体" w:eastAsia="宋体" w:cs="宋体"/>
          <w:strike w:val="0"/>
          <w:dstrike w:val="0"/>
          <w:color w:val="auto"/>
          <w:sz w:val="24"/>
          <w:szCs w:val="24"/>
          <w:highlight w:val="none"/>
        </w:rPr>
        <w:t>.加班工资的规定：非发生重大公共卫生事件和采购人要求特殊加班的日常加班或者延长工作时间工资报酬标准按国家规定执行。此项费用由中标人负责。发生重大公共卫生事件和采购人要求特殊加班的加班经采购人审批后按采购人单位规定标准由采购人支付。</w:t>
      </w:r>
    </w:p>
    <w:p w14:paraId="3809D917">
      <w:pPr>
        <w:spacing w:line="360" w:lineRule="auto"/>
        <w:rPr>
          <w:rFonts w:hint="eastAsia" w:ascii="宋体" w:hAnsi="宋体" w:eastAsia="宋体" w:cs="宋体"/>
          <w:sz w:val="24"/>
          <w:szCs w:val="24"/>
        </w:rPr>
      </w:pPr>
      <w:r>
        <w:rPr>
          <w:rFonts w:hint="eastAsia" w:ascii="宋体" w:hAnsi="宋体" w:eastAsia="宋体" w:cs="宋体"/>
          <w:sz w:val="24"/>
          <w:szCs w:val="24"/>
        </w:rPr>
        <w:t>（四）人员管理要求</w:t>
      </w:r>
    </w:p>
    <w:p w14:paraId="6B221EF7">
      <w:pPr>
        <w:spacing w:line="360" w:lineRule="auto"/>
        <w:rPr>
          <w:rFonts w:hint="eastAsia" w:ascii="宋体" w:hAnsi="宋体" w:eastAsia="宋体" w:cs="宋体"/>
          <w:sz w:val="24"/>
          <w:szCs w:val="24"/>
        </w:rPr>
      </w:pPr>
      <w:r>
        <w:rPr>
          <w:rFonts w:hint="eastAsia" w:ascii="宋体" w:hAnsi="宋体" w:eastAsia="宋体" w:cs="宋体"/>
          <w:sz w:val="24"/>
          <w:szCs w:val="24"/>
        </w:rPr>
        <w:t>1.要求项目配置要合理，做到岗位不缺人（部分工作人员可兼岗，但不得影响工作质量）。项目经理负责整个院区的管理工作，主管和班组长每天对所管班组的工作进行检查、每周要有培训并培训记录（按月交采购人备案），对工作中存在问题要及时整改。</w:t>
      </w:r>
    </w:p>
    <w:p w14:paraId="0B47AF0B">
      <w:pPr>
        <w:spacing w:line="360" w:lineRule="auto"/>
        <w:rPr>
          <w:rFonts w:hint="eastAsia" w:ascii="宋体" w:hAnsi="宋体" w:eastAsia="宋体" w:cs="宋体"/>
          <w:sz w:val="24"/>
          <w:szCs w:val="24"/>
        </w:rPr>
      </w:pPr>
      <w:r>
        <w:rPr>
          <w:rFonts w:hint="eastAsia" w:ascii="宋体" w:hAnsi="宋体" w:eastAsia="宋体" w:cs="宋体"/>
          <w:sz w:val="24"/>
          <w:szCs w:val="24"/>
        </w:rPr>
        <w:t>2.中标人派驻的工作人员必须身体健康、遵纪守法、无不良行为倾向。</w:t>
      </w:r>
    </w:p>
    <w:p w14:paraId="13AD3BF8">
      <w:pPr>
        <w:spacing w:line="360" w:lineRule="auto"/>
        <w:rPr>
          <w:rFonts w:hint="eastAsia" w:ascii="宋体" w:hAnsi="宋体" w:eastAsia="宋体" w:cs="宋体"/>
          <w:sz w:val="24"/>
          <w:szCs w:val="24"/>
        </w:rPr>
      </w:pPr>
      <w:r>
        <w:rPr>
          <w:rFonts w:hint="eastAsia" w:ascii="宋体" w:hAnsi="宋体" w:eastAsia="宋体" w:cs="宋体"/>
          <w:sz w:val="24"/>
          <w:szCs w:val="24"/>
        </w:rPr>
        <w:t>3.人员服装要统一、整齐，注意个人卫生、形象佳。</w:t>
      </w:r>
    </w:p>
    <w:p w14:paraId="6BBF35C2">
      <w:pPr>
        <w:spacing w:line="360" w:lineRule="auto"/>
        <w:rPr>
          <w:rFonts w:hint="eastAsia" w:ascii="宋体" w:hAnsi="宋体" w:eastAsia="宋体" w:cs="宋体"/>
          <w:sz w:val="24"/>
          <w:szCs w:val="24"/>
        </w:rPr>
      </w:pPr>
      <w:r>
        <w:rPr>
          <w:rFonts w:hint="eastAsia" w:ascii="宋体" w:hAnsi="宋体" w:eastAsia="宋体" w:cs="宋体"/>
          <w:sz w:val="24"/>
          <w:szCs w:val="24"/>
        </w:rPr>
        <w:t>4.所有人员须语言文明、服务态度好，积极配合采购人的管理及安排。</w:t>
      </w:r>
    </w:p>
    <w:p w14:paraId="48EAF19A">
      <w:pPr>
        <w:spacing w:line="360" w:lineRule="auto"/>
        <w:rPr>
          <w:rFonts w:hint="eastAsia" w:ascii="宋体" w:hAnsi="宋体" w:eastAsia="宋体" w:cs="宋体"/>
          <w:sz w:val="24"/>
          <w:szCs w:val="24"/>
        </w:rPr>
      </w:pPr>
      <w:r>
        <w:rPr>
          <w:rFonts w:hint="eastAsia" w:ascii="宋体" w:hAnsi="宋体" w:eastAsia="宋体" w:cs="宋体"/>
          <w:sz w:val="24"/>
          <w:szCs w:val="24"/>
        </w:rPr>
        <w:t>5.中标人应保持员工队伍稳定，员工工作熟练，公司内部有培训机构。培训（含入职前、入院前、岗前三级培训）内容包括：职业道德、服务规范、岗位操作流程和规范、应急事件处理、消防和急救技能等，所有服务人员均经培训（新人岗前培训≥7天、其它岗位调配岗前培训≥3天），考核合格后方可上岗，安全作业率达100%。中标人每月至少一次对各岗位的员工进行岗位服务要求和岗位技能的培训并定期进行考核。资料报采购人备案。</w:t>
      </w:r>
    </w:p>
    <w:p w14:paraId="005D31CA">
      <w:pPr>
        <w:spacing w:line="360" w:lineRule="auto"/>
        <w:rPr>
          <w:rFonts w:hint="eastAsia" w:ascii="宋体" w:hAnsi="宋体" w:eastAsia="宋体" w:cs="宋体"/>
          <w:sz w:val="24"/>
          <w:szCs w:val="24"/>
        </w:rPr>
      </w:pPr>
      <w:r>
        <w:rPr>
          <w:rFonts w:hint="eastAsia" w:ascii="宋体" w:hAnsi="宋体" w:eastAsia="宋体" w:cs="宋体"/>
          <w:sz w:val="24"/>
          <w:szCs w:val="24"/>
        </w:rPr>
        <w:t>6.服务人员按不同工种和专业要求持证上岗，包括政府临时出台或规定需要领取的相关证照（相关证件费用和年审费由中标人负责，该费用应体现在投标报价中），如果因为服务人员没有持有相应的工作上岗证而导致事故发生，责任由中标人承担。</w:t>
      </w:r>
    </w:p>
    <w:p w14:paraId="78E13746">
      <w:pPr>
        <w:spacing w:line="360" w:lineRule="auto"/>
        <w:rPr>
          <w:rFonts w:hint="eastAsia" w:ascii="宋体" w:hAnsi="宋体" w:eastAsia="宋体" w:cs="宋体"/>
          <w:sz w:val="24"/>
          <w:szCs w:val="24"/>
        </w:rPr>
      </w:pPr>
      <w:r>
        <w:rPr>
          <w:rFonts w:hint="eastAsia" w:ascii="宋体" w:hAnsi="宋体" w:eastAsia="宋体" w:cs="宋体"/>
          <w:sz w:val="24"/>
          <w:szCs w:val="24"/>
        </w:rPr>
        <w:t>7.各岗位管理人员、工作人员必须身体健康（经体检合格者），上岗前具备健康证明（应在合同实施两个月内提交），且每年体检不少于1次，并进行相关预防疫苗的接种，在传染病流行季节要采取相应的预防措施，包括防护、药物等，体检及相关费用由中标人承担。该费用应体现在投标报价中。</w:t>
      </w:r>
    </w:p>
    <w:p w14:paraId="40AA71B0">
      <w:pPr>
        <w:spacing w:line="360" w:lineRule="auto"/>
        <w:rPr>
          <w:rFonts w:hint="eastAsia" w:ascii="宋体" w:hAnsi="宋体" w:eastAsia="宋体" w:cs="宋体"/>
          <w:sz w:val="24"/>
          <w:szCs w:val="24"/>
        </w:rPr>
      </w:pPr>
      <w:r>
        <w:rPr>
          <w:rFonts w:hint="eastAsia" w:ascii="宋体" w:hAnsi="宋体" w:eastAsia="宋体" w:cs="宋体"/>
          <w:sz w:val="24"/>
          <w:szCs w:val="24"/>
        </w:rPr>
        <w:t>8.中标后，在交接工作完成后一个月内完成上岗人员体检工作并提交健康报告。</w:t>
      </w:r>
    </w:p>
    <w:p w14:paraId="46ABCECB">
      <w:pPr>
        <w:spacing w:line="360" w:lineRule="auto"/>
        <w:rPr>
          <w:rFonts w:hint="eastAsia" w:ascii="宋体" w:hAnsi="宋体" w:eastAsia="宋体" w:cs="宋体"/>
          <w:sz w:val="24"/>
          <w:szCs w:val="24"/>
        </w:rPr>
      </w:pPr>
      <w:r>
        <w:rPr>
          <w:rFonts w:hint="eastAsia" w:ascii="宋体" w:hAnsi="宋体" w:eastAsia="宋体" w:cs="宋体"/>
          <w:sz w:val="24"/>
          <w:szCs w:val="24"/>
        </w:rPr>
        <w:t>9.符合国家规定（年龄、计划生育状况等），所有服务人员应经过卫生知识、安全规范培训和考核等。中标人要配合采购人做好医院服务的管理工作，参加采购人对服务人员进行培训（包括疾病预防知识等）、考核、业务指导。</w:t>
      </w:r>
    </w:p>
    <w:p w14:paraId="0669FD03">
      <w:pPr>
        <w:spacing w:line="360" w:lineRule="auto"/>
        <w:rPr>
          <w:rFonts w:hint="eastAsia" w:ascii="宋体" w:hAnsi="宋体" w:eastAsia="宋体" w:cs="宋体"/>
          <w:sz w:val="24"/>
          <w:szCs w:val="24"/>
        </w:rPr>
      </w:pPr>
      <w:r>
        <w:rPr>
          <w:rFonts w:hint="eastAsia" w:ascii="宋体" w:hAnsi="宋体" w:eastAsia="宋体" w:cs="宋体"/>
          <w:sz w:val="24"/>
          <w:szCs w:val="24"/>
        </w:rPr>
        <w:t>10.中标人项目经理每月以书面形式向采购人后勤部门提交人员月或周排班表、培训、考核和质量检查情况（存在问题要提交整改计划并进行整改并按月交后勤部门备案）。</w:t>
      </w:r>
    </w:p>
    <w:p w14:paraId="41C6770C">
      <w:pPr>
        <w:spacing w:line="360" w:lineRule="auto"/>
        <w:rPr>
          <w:rFonts w:hint="eastAsia" w:ascii="宋体" w:hAnsi="宋体" w:eastAsia="宋体" w:cs="宋体"/>
          <w:sz w:val="24"/>
          <w:szCs w:val="24"/>
        </w:rPr>
      </w:pPr>
      <w:r>
        <w:rPr>
          <w:rFonts w:hint="eastAsia" w:ascii="宋体" w:hAnsi="宋体" w:eastAsia="宋体" w:cs="宋体"/>
          <w:sz w:val="24"/>
          <w:szCs w:val="24"/>
        </w:rPr>
        <w:t>11.中标人项目经理/主管需主动与采购人负责部门联络，征求意见并改进工作。中标人不得随意更换班组长、主管以上人员、部门骨干、专业技术人员和相关核心人员，如要更换应征得采购人主管部门同意后方可更换，新进人员经培训、考核合格和采购人同意方可上岗。且中标人各种管理资料应按采购人要求及时、准确、真实提交（附电子版），以便提高管理效能。</w:t>
      </w:r>
    </w:p>
    <w:p w14:paraId="428C87BA">
      <w:pPr>
        <w:spacing w:line="360" w:lineRule="auto"/>
        <w:rPr>
          <w:rFonts w:hint="eastAsia" w:ascii="宋体" w:hAnsi="宋体" w:eastAsia="宋体" w:cs="宋体"/>
          <w:sz w:val="24"/>
          <w:szCs w:val="24"/>
        </w:rPr>
      </w:pPr>
      <w:r>
        <w:rPr>
          <w:rFonts w:hint="eastAsia" w:ascii="宋体" w:hAnsi="宋体" w:eastAsia="宋体" w:cs="宋体"/>
          <w:sz w:val="24"/>
          <w:szCs w:val="24"/>
        </w:rPr>
        <w:t>12.全体派驻人员的个人档案需按要求整理好并及时更新。采购人存在一定数量的接待工作和紧急工作，中标人应充分考虑应对加班、人员投入和服务量增加等额外情况，并把此项因素考虑在投标报价中，采购人将不另外支付费用。</w:t>
      </w:r>
    </w:p>
    <w:p w14:paraId="34681F64">
      <w:pPr>
        <w:spacing w:line="360" w:lineRule="auto"/>
        <w:rPr>
          <w:rFonts w:hint="eastAsia" w:ascii="宋体" w:hAnsi="宋体" w:eastAsia="宋体" w:cs="宋体"/>
          <w:sz w:val="24"/>
          <w:szCs w:val="24"/>
        </w:rPr>
      </w:pPr>
      <w:r>
        <w:rPr>
          <w:rFonts w:hint="eastAsia" w:ascii="宋体" w:hAnsi="宋体" w:eastAsia="宋体" w:cs="宋体"/>
          <w:sz w:val="24"/>
          <w:szCs w:val="24"/>
        </w:rPr>
        <w:t>13.投标人在投标文件中应注明项目实施的各项管理制度、岗前培训和继续教育培训计划、人员及岗位责任、岗位流程和考核标准、中标人对各岗位监督检查标准和检查频次、综合满意度的评价标准，并作为评标时质量保证的评分之一。</w:t>
      </w:r>
    </w:p>
    <w:p w14:paraId="1461B79A">
      <w:pPr>
        <w:spacing w:line="360" w:lineRule="auto"/>
        <w:rPr>
          <w:rFonts w:hint="eastAsia" w:ascii="宋体" w:hAnsi="宋体" w:eastAsia="宋体" w:cs="宋体"/>
          <w:sz w:val="24"/>
          <w:szCs w:val="24"/>
        </w:rPr>
      </w:pPr>
      <w:r>
        <w:rPr>
          <w:rFonts w:hint="eastAsia" w:ascii="宋体" w:hAnsi="宋体" w:eastAsia="宋体" w:cs="宋体"/>
          <w:sz w:val="24"/>
          <w:szCs w:val="24"/>
        </w:rPr>
        <w:t>14.中标人应有足够的人力，以保证此项目能顺利实施并保持员工队伍相对稳定，全体派驻人员的花名册及履历表必须交由采购人相关部门备份并且保持及时更新。</w:t>
      </w:r>
    </w:p>
    <w:p w14:paraId="61477900">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五、双方的权利和义务</w:t>
      </w:r>
    </w:p>
    <w:p w14:paraId="6721F202">
      <w:pPr>
        <w:spacing w:line="360" w:lineRule="auto"/>
        <w:rPr>
          <w:rFonts w:hint="eastAsia" w:ascii="宋体" w:hAnsi="宋体" w:eastAsia="宋体" w:cs="宋体"/>
          <w:sz w:val="24"/>
          <w:szCs w:val="24"/>
        </w:rPr>
      </w:pPr>
      <w:r>
        <w:rPr>
          <w:rFonts w:hint="eastAsia" w:ascii="宋体" w:hAnsi="宋体" w:eastAsia="宋体" w:cs="宋体"/>
          <w:sz w:val="24"/>
          <w:szCs w:val="24"/>
        </w:rPr>
        <w:t>（一）采购人的权利和义务</w:t>
      </w:r>
    </w:p>
    <w:p w14:paraId="15A34C3B">
      <w:pPr>
        <w:spacing w:line="360" w:lineRule="auto"/>
        <w:rPr>
          <w:rFonts w:hint="eastAsia" w:ascii="宋体" w:hAnsi="宋体" w:eastAsia="宋体" w:cs="宋体"/>
          <w:sz w:val="24"/>
          <w:szCs w:val="24"/>
        </w:rPr>
      </w:pPr>
      <w:r>
        <w:rPr>
          <w:rFonts w:hint="eastAsia" w:ascii="宋体" w:hAnsi="宋体" w:eastAsia="宋体" w:cs="宋体"/>
          <w:sz w:val="24"/>
          <w:szCs w:val="24"/>
        </w:rPr>
        <w:t>1.采购人有权指定采购人代表以维护产权人、使用人的合法权益。</w:t>
      </w:r>
    </w:p>
    <w:p w14:paraId="6A6578CF">
      <w:pPr>
        <w:spacing w:line="360" w:lineRule="auto"/>
        <w:rPr>
          <w:rFonts w:hint="eastAsia" w:ascii="宋体" w:hAnsi="宋体" w:eastAsia="宋体" w:cs="宋体"/>
          <w:sz w:val="24"/>
          <w:szCs w:val="24"/>
        </w:rPr>
      </w:pPr>
      <w:r>
        <w:rPr>
          <w:rFonts w:hint="eastAsia" w:ascii="宋体" w:hAnsi="宋体" w:eastAsia="宋体" w:cs="宋体"/>
          <w:sz w:val="24"/>
          <w:szCs w:val="24"/>
        </w:rPr>
        <w:t>2.采购人有权审定中标人拟定的各后勤服务程序和管理制度等、管理、检查、培训文件。</w:t>
      </w:r>
    </w:p>
    <w:p w14:paraId="3D675E36">
      <w:pPr>
        <w:spacing w:line="360" w:lineRule="auto"/>
        <w:rPr>
          <w:rFonts w:hint="eastAsia" w:ascii="宋体" w:hAnsi="宋体" w:eastAsia="宋体" w:cs="宋体"/>
          <w:sz w:val="24"/>
          <w:szCs w:val="24"/>
        </w:rPr>
      </w:pPr>
      <w:r>
        <w:rPr>
          <w:rFonts w:hint="eastAsia" w:ascii="宋体" w:hAnsi="宋体" w:eastAsia="宋体" w:cs="宋体"/>
          <w:sz w:val="24"/>
          <w:szCs w:val="24"/>
        </w:rPr>
        <w:t>3.负责检查监督中标人在采购人的各后勤服务工作的实施执行情况。</w:t>
      </w:r>
    </w:p>
    <w:p w14:paraId="356574A3">
      <w:pPr>
        <w:spacing w:line="360" w:lineRule="auto"/>
        <w:rPr>
          <w:rFonts w:hint="eastAsia" w:ascii="宋体" w:hAnsi="宋体" w:eastAsia="宋体" w:cs="宋体"/>
          <w:sz w:val="24"/>
          <w:szCs w:val="24"/>
        </w:rPr>
      </w:pPr>
      <w:r>
        <w:rPr>
          <w:rFonts w:hint="eastAsia" w:ascii="宋体" w:hAnsi="宋体" w:eastAsia="宋体" w:cs="宋体"/>
          <w:sz w:val="24"/>
          <w:szCs w:val="24"/>
        </w:rPr>
        <w:t>4.有权对中标人提供的各服务进行考核，如考核不合格拒用。</w:t>
      </w:r>
    </w:p>
    <w:p w14:paraId="59DE0B05">
      <w:pPr>
        <w:spacing w:line="360" w:lineRule="auto"/>
        <w:rPr>
          <w:rFonts w:hint="eastAsia" w:ascii="宋体" w:hAnsi="宋体" w:eastAsia="宋体" w:cs="宋体"/>
          <w:sz w:val="24"/>
          <w:szCs w:val="24"/>
        </w:rPr>
      </w:pPr>
      <w:r>
        <w:rPr>
          <w:rFonts w:hint="eastAsia" w:ascii="宋体" w:hAnsi="宋体" w:eastAsia="宋体" w:cs="宋体"/>
          <w:sz w:val="24"/>
          <w:szCs w:val="24"/>
        </w:rPr>
        <w:t>5.配合中标人做好医院服务的管理工作。</w:t>
      </w:r>
    </w:p>
    <w:p w14:paraId="663C956F">
      <w:pPr>
        <w:spacing w:line="360" w:lineRule="auto"/>
        <w:rPr>
          <w:rFonts w:hint="eastAsia" w:ascii="宋体" w:hAnsi="宋体" w:eastAsia="宋体" w:cs="宋体"/>
          <w:sz w:val="24"/>
          <w:szCs w:val="24"/>
        </w:rPr>
      </w:pPr>
      <w:r>
        <w:rPr>
          <w:rFonts w:hint="eastAsia" w:ascii="宋体" w:hAnsi="宋体" w:eastAsia="宋体" w:cs="宋体"/>
          <w:sz w:val="24"/>
          <w:szCs w:val="24"/>
        </w:rPr>
        <w:t>6.采购人有权对中标人发放员工工资及福利情况进行检查，以保证合同的正常履行和员工的待遇得到落实。</w:t>
      </w:r>
    </w:p>
    <w:p w14:paraId="01DEF3D5">
      <w:pPr>
        <w:spacing w:line="360" w:lineRule="auto"/>
        <w:rPr>
          <w:rFonts w:hint="eastAsia" w:ascii="宋体" w:hAnsi="宋体" w:eastAsia="宋体" w:cs="宋体"/>
          <w:sz w:val="24"/>
          <w:szCs w:val="24"/>
        </w:rPr>
      </w:pPr>
      <w:r>
        <w:rPr>
          <w:rFonts w:hint="eastAsia" w:ascii="宋体" w:hAnsi="宋体" w:eastAsia="宋体" w:cs="宋体"/>
          <w:sz w:val="24"/>
          <w:szCs w:val="24"/>
        </w:rPr>
        <w:t>7.采购人不提供中标人工作人员的住宿和电话及其费用，尽量为中标人驻场管理人员提供办公场地。采购人对中标人在合同范围内开展工作无偿提供水电（使用大型设备除外）。</w:t>
      </w:r>
    </w:p>
    <w:p w14:paraId="23E5BADB">
      <w:pPr>
        <w:spacing w:line="360" w:lineRule="auto"/>
        <w:rPr>
          <w:rFonts w:hint="eastAsia" w:ascii="宋体" w:hAnsi="宋体" w:eastAsia="宋体" w:cs="宋体"/>
          <w:sz w:val="24"/>
          <w:szCs w:val="24"/>
        </w:rPr>
      </w:pPr>
      <w:r>
        <w:rPr>
          <w:rFonts w:hint="eastAsia" w:ascii="宋体" w:hAnsi="宋体" w:eastAsia="宋体" w:cs="宋体"/>
          <w:sz w:val="24"/>
          <w:szCs w:val="24"/>
        </w:rPr>
        <w:t>8.采购人对中标人提供的人员不满意（包括管理人员）时，中标人应及时且无条件的为采购人更换合格的人员。</w:t>
      </w:r>
    </w:p>
    <w:p w14:paraId="70D00E5E">
      <w:pPr>
        <w:spacing w:line="360" w:lineRule="auto"/>
        <w:rPr>
          <w:rFonts w:hint="eastAsia" w:ascii="宋体" w:hAnsi="宋体" w:eastAsia="宋体" w:cs="宋体"/>
          <w:sz w:val="24"/>
          <w:szCs w:val="24"/>
        </w:rPr>
      </w:pPr>
      <w:r>
        <w:rPr>
          <w:rFonts w:hint="eastAsia" w:ascii="宋体" w:hAnsi="宋体" w:eastAsia="宋体" w:cs="宋体"/>
          <w:sz w:val="24"/>
          <w:szCs w:val="24"/>
        </w:rPr>
        <w:t>9.采购人不提供中标人工作服、值班室、设备房、库房等办公场所所需的办公设备和使用布类的洗涤（含工作服的洗涤）。</w:t>
      </w:r>
    </w:p>
    <w:p w14:paraId="351E3775">
      <w:pPr>
        <w:spacing w:line="360" w:lineRule="auto"/>
        <w:rPr>
          <w:rFonts w:hint="eastAsia" w:ascii="宋体" w:hAnsi="宋体" w:eastAsia="宋体" w:cs="宋体"/>
          <w:sz w:val="24"/>
          <w:szCs w:val="24"/>
        </w:rPr>
      </w:pPr>
      <w:r>
        <w:rPr>
          <w:rFonts w:hint="eastAsia" w:ascii="宋体" w:hAnsi="宋体" w:eastAsia="宋体" w:cs="宋体"/>
          <w:sz w:val="24"/>
          <w:szCs w:val="24"/>
        </w:rPr>
        <w:t>10.合同终止时，中标人应完结所有工作人员的工资、相关的费用结算，在赔偿损坏或丢失的采购人的财物后并向采购人移交在医院服务期间除员工签署的合同之外的全部员工档案、制度、流程、岗位职责、巡查表、质量检查资料等，采购人方可退还履约保证金。如员工待遇双方存在异议时，采购人有权在履约保证金中扣出员工实际产生的费用发给当事人。</w:t>
      </w:r>
    </w:p>
    <w:p w14:paraId="4F14D43E">
      <w:pPr>
        <w:spacing w:line="360" w:lineRule="auto"/>
        <w:rPr>
          <w:rFonts w:hint="eastAsia" w:ascii="宋体" w:hAnsi="宋体" w:eastAsia="宋体" w:cs="宋体"/>
          <w:sz w:val="24"/>
          <w:szCs w:val="24"/>
        </w:rPr>
      </w:pPr>
      <w:r>
        <w:rPr>
          <w:rFonts w:hint="eastAsia" w:ascii="宋体" w:hAnsi="宋体" w:eastAsia="宋体" w:cs="宋体"/>
          <w:sz w:val="24"/>
          <w:szCs w:val="24"/>
        </w:rPr>
        <w:t>（二）中标人的权利和义务</w:t>
      </w:r>
    </w:p>
    <w:p w14:paraId="25859C1C">
      <w:pPr>
        <w:spacing w:line="360" w:lineRule="auto"/>
        <w:rPr>
          <w:rFonts w:hint="eastAsia" w:ascii="宋体" w:hAnsi="宋体" w:eastAsia="宋体" w:cs="宋体"/>
          <w:sz w:val="24"/>
          <w:szCs w:val="24"/>
        </w:rPr>
      </w:pPr>
      <w:r>
        <w:rPr>
          <w:rFonts w:hint="eastAsia" w:ascii="宋体" w:hAnsi="宋体" w:eastAsia="宋体" w:cs="宋体"/>
          <w:sz w:val="24"/>
          <w:szCs w:val="24"/>
        </w:rPr>
        <w:t>1.制订各工种相关服务程序、培训计划、管理标准、考核细则；中标人须严格按照标准化的操作程序、完善的培训体系和质量控制体系完成本项目，以保证采购人整个系统能安全、高效、有序和有计划地运转与不断发展的医疗水平相一致。</w:t>
      </w:r>
    </w:p>
    <w:p w14:paraId="0A44A916">
      <w:pPr>
        <w:spacing w:line="360" w:lineRule="auto"/>
        <w:rPr>
          <w:rFonts w:hint="eastAsia" w:ascii="宋体" w:hAnsi="宋体" w:eastAsia="宋体" w:cs="宋体"/>
          <w:sz w:val="24"/>
          <w:szCs w:val="24"/>
        </w:rPr>
      </w:pPr>
      <w:r>
        <w:rPr>
          <w:rFonts w:hint="eastAsia" w:ascii="宋体" w:hAnsi="宋体" w:eastAsia="宋体" w:cs="宋体"/>
          <w:sz w:val="24"/>
          <w:szCs w:val="24"/>
        </w:rPr>
        <w:t>2.中标人于进场前应提供所有员工的个人档案资料交采购人确认。合同签订10天或以内后将各工种相关服务程序、培训计划、管理标准、考核细则、准化的操作程序等文件资料交采购人进行审核并存档，作为采购人实施管理的依据。</w:t>
      </w:r>
    </w:p>
    <w:p w14:paraId="0A0E73FA">
      <w:pPr>
        <w:spacing w:line="360" w:lineRule="auto"/>
        <w:rPr>
          <w:rFonts w:hint="eastAsia" w:ascii="宋体" w:hAnsi="宋体" w:eastAsia="宋体" w:cs="宋体"/>
          <w:sz w:val="24"/>
          <w:szCs w:val="24"/>
        </w:rPr>
      </w:pPr>
      <w:r>
        <w:rPr>
          <w:rFonts w:hint="eastAsia" w:ascii="宋体" w:hAnsi="宋体" w:eastAsia="宋体" w:cs="宋体"/>
          <w:sz w:val="24"/>
          <w:szCs w:val="24"/>
        </w:rPr>
        <w:t>3.在日常服务管理过程中自觉维护采购人的权益及声誉、妥善保管保养好采购人的相关设施设备，如人为造成损坏，按要求予以赔偿。对无法解决的事故要及时向采购人反映。</w:t>
      </w:r>
    </w:p>
    <w:p w14:paraId="1106FE89">
      <w:pPr>
        <w:spacing w:line="360" w:lineRule="auto"/>
        <w:rPr>
          <w:rFonts w:hint="eastAsia" w:ascii="宋体" w:hAnsi="宋体" w:eastAsia="宋体" w:cs="宋体"/>
          <w:sz w:val="24"/>
          <w:szCs w:val="24"/>
        </w:rPr>
      </w:pPr>
      <w:r>
        <w:rPr>
          <w:rFonts w:hint="eastAsia" w:ascii="宋体" w:hAnsi="宋体" w:eastAsia="宋体" w:cs="宋体"/>
          <w:sz w:val="24"/>
          <w:szCs w:val="24"/>
        </w:rPr>
        <w:t>4.中标人承担与所有招标服务有关的直接运营费用，包括中标人所有驻采购人院内员工的工资、工服（包含洗衣费用）、办公用品、各类表单、劳保费用和各类保险的代征、代购、劳动用工手续、计划生育管理、住宿、体检相关费用等，以及在提供服务开始时国家或地方部门届时征收的与提供管理服务有关的所有税收和费用。</w:t>
      </w:r>
    </w:p>
    <w:p w14:paraId="26305851">
      <w:pPr>
        <w:spacing w:line="360" w:lineRule="auto"/>
        <w:rPr>
          <w:rFonts w:hint="eastAsia" w:ascii="宋体" w:hAnsi="宋体" w:eastAsia="宋体" w:cs="宋体"/>
          <w:sz w:val="24"/>
          <w:szCs w:val="24"/>
        </w:rPr>
      </w:pPr>
      <w:r>
        <w:rPr>
          <w:rFonts w:hint="eastAsia" w:ascii="宋体" w:hAnsi="宋体" w:eastAsia="宋体" w:cs="宋体"/>
          <w:sz w:val="24"/>
          <w:szCs w:val="24"/>
        </w:rPr>
        <w:t>5.中标人要为各工种员工在进场前进行健康体检（费用由中标人负责，体检表交采购人备案，应在合同实施两个月内提交），合格后方可使用。提供不少于3套的工服，便于换洗，餐饮人员工服分为2种颜色（分厨房人员及订餐送餐人员服装）。</w:t>
      </w:r>
    </w:p>
    <w:p w14:paraId="309EDBEF">
      <w:pPr>
        <w:spacing w:line="360" w:lineRule="auto"/>
        <w:rPr>
          <w:rFonts w:hint="eastAsia" w:ascii="宋体" w:hAnsi="宋体" w:eastAsia="宋体" w:cs="宋体"/>
          <w:sz w:val="24"/>
          <w:szCs w:val="24"/>
        </w:rPr>
      </w:pPr>
      <w:r>
        <w:rPr>
          <w:rFonts w:hint="eastAsia" w:ascii="宋体" w:hAnsi="宋体" w:eastAsia="宋体" w:cs="宋体"/>
          <w:sz w:val="24"/>
          <w:szCs w:val="24"/>
        </w:rPr>
        <w:t>6.承担员工的责任风险，及因所提供服务不当而引至相应法律责任（如工作质量、服务态度、用人不当、不购买“五险一金”、员工工伤、员工生病、劳资纠纷、计划生育等）。</w:t>
      </w:r>
    </w:p>
    <w:p w14:paraId="62C37A66">
      <w:pPr>
        <w:spacing w:line="360" w:lineRule="auto"/>
        <w:rPr>
          <w:rFonts w:hint="eastAsia" w:ascii="宋体" w:hAnsi="宋体" w:eastAsia="宋体" w:cs="宋体"/>
          <w:sz w:val="24"/>
          <w:szCs w:val="24"/>
        </w:rPr>
      </w:pPr>
      <w:r>
        <w:rPr>
          <w:rFonts w:hint="eastAsia" w:ascii="宋体" w:hAnsi="宋体" w:eastAsia="宋体" w:cs="宋体"/>
          <w:sz w:val="24"/>
          <w:szCs w:val="24"/>
        </w:rPr>
        <w:t>7.派驻采购人的服务人员应严格遵守采购人有关规章制度、保密承诺及安全作业承诺，中标人员违反以上守则并经查实者将会受到即时解雇。</w:t>
      </w:r>
    </w:p>
    <w:p w14:paraId="397D56F9">
      <w:pPr>
        <w:spacing w:line="360" w:lineRule="auto"/>
        <w:rPr>
          <w:rFonts w:hint="eastAsia" w:ascii="宋体" w:hAnsi="宋体" w:eastAsia="宋体" w:cs="宋体"/>
          <w:sz w:val="24"/>
          <w:szCs w:val="24"/>
        </w:rPr>
      </w:pPr>
      <w:r>
        <w:rPr>
          <w:rFonts w:hint="eastAsia" w:ascii="宋体" w:hAnsi="宋体" w:eastAsia="宋体" w:cs="宋体"/>
          <w:sz w:val="24"/>
          <w:szCs w:val="24"/>
        </w:rPr>
        <w:t>8.如因工作场地或施工条件等环境因素危及中标人员的人身安全的，中标人有权要求采购人协助做好职业安全措施。</w:t>
      </w:r>
    </w:p>
    <w:p w14:paraId="72A2D409">
      <w:pPr>
        <w:spacing w:line="360" w:lineRule="auto"/>
        <w:rPr>
          <w:rFonts w:hint="eastAsia" w:ascii="宋体" w:hAnsi="宋体" w:eastAsia="宋体" w:cs="宋体"/>
          <w:sz w:val="24"/>
          <w:szCs w:val="24"/>
        </w:rPr>
      </w:pPr>
      <w:r>
        <w:rPr>
          <w:rFonts w:hint="eastAsia" w:ascii="宋体" w:hAnsi="宋体" w:eastAsia="宋体" w:cs="宋体"/>
          <w:sz w:val="24"/>
          <w:szCs w:val="24"/>
        </w:rPr>
        <w:t>9.中标人提供的人员应在采购人处体检合格后方可开始工作。如采购人对中标人提供的人员不满意要求更换时，中标人应及时且无条件的为采购人更换合格人员。</w:t>
      </w:r>
    </w:p>
    <w:p w14:paraId="46E12BE7">
      <w:pPr>
        <w:spacing w:line="360" w:lineRule="auto"/>
        <w:rPr>
          <w:rFonts w:hint="eastAsia" w:ascii="宋体" w:hAnsi="宋体" w:eastAsia="宋体" w:cs="宋体"/>
          <w:sz w:val="24"/>
          <w:szCs w:val="24"/>
        </w:rPr>
      </w:pPr>
      <w:r>
        <w:rPr>
          <w:rFonts w:hint="eastAsia" w:ascii="宋体" w:hAnsi="宋体" w:eastAsia="宋体" w:cs="宋体"/>
          <w:sz w:val="24"/>
          <w:szCs w:val="24"/>
        </w:rPr>
        <w:t>10.中标人应能及时提供突发性需求的人员。中标人应在收到采购人通知后，在医院指定的时间内提供足够服务人员（发生突发公共事件时，需要在2小时内提供）；如未能及时提供的，采购人有权要求中标人承担一切损失和责任。</w:t>
      </w:r>
    </w:p>
    <w:p w14:paraId="3FB2D8FC">
      <w:pPr>
        <w:spacing w:line="360" w:lineRule="auto"/>
        <w:rPr>
          <w:rFonts w:hint="eastAsia" w:ascii="宋体" w:hAnsi="宋体" w:eastAsia="宋体" w:cs="宋体"/>
          <w:sz w:val="24"/>
          <w:szCs w:val="24"/>
        </w:rPr>
      </w:pPr>
      <w:r>
        <w:rPr>
          <w:rFonts w:hint="eastAsia" w:ascii="宋体" w:hAnsi="宋体" w:eastAsia="宋体" w:cs="宋体"/>
          <w:sz w:val="24"/>
          <w:szCs w:val="24"/>
        </w:rPr>
        <w:t>11.中标人员工出现违法行为，所造成的一切后果及损失，由中标人承担责任和负责赔偿；出现严重违纪、违规行为，医院有权终止合同。</w:t>
      </w:r>
    </w:p>
    <w:p w14:paraId="453AFF48">
      <w:pPr>
        <w:spacing w:line="360" w:lineRule="auto"/>
        <w:rPr>
          <w:rFonts w:hint="eastAsia" w:ascii="宋体" w:hAnsi="宋体" w:eastAsia="宋体" w:cs="宋体"/>
          <w:sz w:val="24"/>
          <w:szCs w:val="24"/>
        </w:rPr>
      </w:pPr>
      <w:r>
        <w:rPr>
          <w:rFonts w:hint="eastAsia" w:ascii="宋体" w:hAnsi="宋体" w:eastAsia="宋体" w:cs="宋体"/>
          <w:sz w:val="24"/>
          <w:szCs w:val="24"/>
        </w:rPr>
        <w:t>12.中标人应配备足够的人力，并保持员工队伍的稳定，人员流失率要求≤8%/月，缺岗人员必须在15天或以内补充，列出花名册，因本次招标为专业技术人员，如有调离或离职，需书面通知采购人主管部门并得到批准后才能实施。</w:t>
      </w:r>
    </w:p>
    <w:p w14:paraId="63B2D2EC">
      <w:pPr>
        <w:spacing w:line="360" w:lineRule="auto"/>
        <w:rPr>
          <w:rFonts w:hint="eastAsia" w:ascii="宋体" w:hAnsi="宋体" w:eastAsia="宋体" w:cs="宋体"/>
          <w:sz w:val="24"/>
          <w:szCs w:val="24"/>
        </w:rPr>
      </w:pPr>
      <w:r>
        <w:rPr>
          <w:rFonts w:hint="eastAsia" w:ascii="宋体" w:hAnsi="宋体" w:eastAsia="宋体" w:cs="宋体"/>
          <w:sz w:val="24"/>
          <w:szCs w:val="24"/>
        </w:rPr>
        <w:t>13.中标人每个月应根据本院和第三方满意度调查表中反映的问题，提交调查结果和存在问题的整改措施。</w:t>
      </w:r>
    </w:p>
    <w:p w14:paraId="5257F7D1">
      <w:pPr>
        <w:spacing w:line="360" w:lineRule="auto"/>
        <w:rPr>
          <w:rFonts w:hint="eastAsia" w:ascii="宋体" w:hAnsi="宋体" w:eastAsia="宋体" w:cs="宋体"/>
          <w:sz w:val="24"/>
          <w:szCs w:val="24"/>
        </w:rPr>
      </w:pPr>
      <w:r>
        <w:rPr>
          <w:rFonts w:hint="eastAsia" w:ascii="宋体" w:hAnsi="宋体" w:eastAsia="宋体" w:cs="宋体"/>
          <w:sz w:val="24"/>
          <w:szCs w:val="24"/>
        </w:rPr>
        <w:t>14.合同终止时，中标人只带走与员工签订的合同材料，其余员工档案及相关医院服务全部档案资料应向采购人全部移交后才退还履约保证金。</w:t>
      </w:r>
    </w:p>
    <w:p w14:paraId="7748DCC5">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六、中标供应商服务质量和履约监管</w:t>
      </w:r>
    </w:p>
    <w:p w14:paraId="5A14A3CC">
      <w:pPr>
        <w:spacing w:line="360" w:lineRule="auto"/>
        <w:rPr>
          <w:rFonts w:hint="eastAsia" w:ascii="宋体" w:hAnsi="宋体" w:eastAsia="宋体" w:cs="宋体"/>
          <w:sz w:val="24"/>
          <w:szCs w:val="24"/>
        </w:rPr>
      </w:pPr>
      <w:r>
        <w:rPr>
          <w:rFonts w:hint="eastAsia" w:ascii="宋体" w:hAnsi="宋体" w:eastAsia="宋体" w:cs="宋体"/>
          <w:sz w:val="24"/>
          <w:szCs w:val="24"/>
        </w:rPr>
        <w:t>1.发现员工违反医院管理规定或发生影响医院声誉形象的投诉或网络舆情，经调查属实的，每次扣除当月服务费1000元。</w:t>
      </w:r>
    </w:p>
    <w:p w14:paraId="2CA87E42">
      <w:pPr>
        <w:spacing w:line="360" w:lineRule="auto"/>
        <w:rPr>
          <w:rFonts w:hint="eastAsia" w:ascii="宋体" w:hAnsi="宋体" w:eastAsia="宋体" w:cs="宋体"/>
          <w:sz w:val="24"/>
          <w:szCs w:val="24"/>
        </w:rPr>
      </w:pPr>
      <w:r>
        <w:rPr>
          <w:rFonts w:hint="eastAsia" w:ascii="宋体" w:hAnsi="宋体" w:eastAsia="宋体" w:cs="宋体"/>
          <w:sz w:val="24"/>
          <w:szCs w:val="24"/>
        </w:rPr>
        <w:t>2.对管理不善，因违反医院管理规定或发生影响医院声誉形象的投诉或网络舆情，导致安全事件或其他不良事件发生，影响医院正常工作和声誉的，扣罚当月服务费5%-10%，严重事件要承担由此导致一切后果并移交公安机关处置。</w:t>
      </w:r>
    </w:p>
    <w:p w14:paraId="1B4CF8D0">
      <w:pPr>
        <w:spacing w:line="360" w:lineRule="auto"/>
        <w:rPr>
          <w:rFonts w:hint="eastAsia" w:ascii="宋体" w:hAnsi="宋体" w:eastAsia="宋体" w:cs="宋体"/>
          <w:sz w:val="24"/>
          <w:szCs w:val="24"/>
        </w:rPr>
      </w:pPr>
      <w:r>
        <w:rPr>
          <w:rFonts w:hint="eastAsia" w:ascii="宋体" w:hAnsi="宋体" w:eastAsia="宋体" w:cs="宋体"/>
          <w:sz w:val="24"/>
          <w:szCs w:val="24"/>
        </w:rPr>
        <w:t>3.中标供应商员工发生如下违反医院规定行为的每次扣除服务费200元。</w:t>
      </w:r>
    </w:p>
    <w:p w14:paraId="0DB32BB1">
      <w:pPr>
        <w:spacing w:line="360" w:lineRule="auto"/>
        <w:rPr>
          <w:rFonts w:hint="eastAsia" w:ascii="宋体" w:hAnsi="宋体" w:eastAsia="宋体" w:cs="宋体"/>
          <w:sz w:val="24"/>
          <w:szCs w:val="24"/>
        </w:rPr>
      </w:pPr>
      <w:r>
        <w:rPr>
          <w:rFonts w:hint="eastAsia" w:ascii="宋体" w:hAnsi="宋体" w:eastAsia="宋体" w:cs="宋体"/>
          <w:sz w:val="24"/>
          <w:szCs w:val="24"/>
        </w:rPr>
        <w:t>3.1乱挂衣物出窗外或外墙；</w:t>
      </w:r>
    </w:p>
    <w:p w14:paraId="659762CE">
      <w:pPr>
        <w:spacing w:line="360" w:lineRule="auto"/>
        <w:rPr>
          <w:rFonts w:hint="eastAsia" w:ascii="宋体" w:hAnsi="宋体" w:eastAsia="宋体" w:cs="宋体"/>
          <w:sz w:val="24"/>
          <w:szCs w:val="24"/>
        </w:rPr>
      </w:pPr>
      <w:r>
        <w:rPr>
          <w:rFonts w:hint="eastAsia" w:ascii="宋体" w:hAnsi="宋体" w:eastAsia="宋体" w:cs="宋体"/>
          <w:sz w:val="24"/>
          <w:szCs w:val="24"/>
        </w:rPr>
        <w:t>3.2不按要求穿戴工衣、手套等不符合仪容仪表要求；</w:t>
      </w:r>
    </w:p>
    <w:p w14:paraId="5457BED3">
      <w:pPr>
        <w:spacing w:line="360" w:lineRule="auto"/>
        <w:rPr>
          <w:rFonts w:hint="eastAsia" w:ascii="宋体" w:hAnsi="宋体" w:eastAsia="宋体" w:cs="宋体"/>
          <w:sz w:val="24"/>
          <w:szCs w:val="24"/>
        </w:rPr>
      </w:pPr>
      <w:r>
        <w:rPr>
          <w:rFonts w:hint="eastAsia" w:ascii="宋体" w:hAnsi="宋体" w:eastAsia="宋体" w:cs="宋体"/>
          <w:sz w:val="24"/>
          <w:szCs w:val="24"/>
        </w:rPr>
        <w:t>3.3戴手套触摸电梯、门把或其他公共用物的；</w:t>
      </w:r>
    </w:p>
    <w:p w14:paraId="3822E14E">
      <w:pPr>
        <w:spacing w:line="360" w:lineRule="auto"/>
        <w:rPr>
          <w:rFonts w:hint="eastAsia" w:ascii="宋体" w:hAnsi="宋体" w:eastAsia="宋体" w:cs="宋体"/>
          <w:sz w:val="24"/>
          <w:szCs w:val="24"/>
        </w:rPr>
      </w:pPr>
      <w:r>
        <w:rPr>
          <w:rFonts w:hint="eastAsia" w:ascii="宋体" w:hAnsi="宋体" w:eastAsia="宋体" w:cs="宋体"/>
          <w:sz w:val="24"/>
          <w:szCs w:val="24"/>
        </w:rPr>
        <w:t>3.4一般服务态度投诉属实；</w:t>
      </w:r>
    </w:p>
    <w:p w14:paraId="7505E340">
      <w:pPr>
        <w:spacing w:line="360" w:lineRule="auto"/>
        <w:rPr>
          <w:rFonts w:hint="eastAsia" w:ascii="宋体" w:hAnsi="宋体" w:eastAsia="宋体" w:cs="宋体"/>
          <w:sz w:val="24"/>
          <w:szCs w:val="24"/>
        </w:rPr>
      </w:pPr>
      <w:r>
        <w:rPr>
          <w:rFonts w:hint="eastAsia" w:ascii="宋体" w:hAnsi="宋体" w:eastAsia="宋体" w:cs="宋体"/>
          <w:sz w:val="24"/>
          <w:szCs w:val="24"/>
        </w:rPr>
        <w:t>3.5员工在院内吵架。</w:t>
      </w:r>
    </w:p>
    <w:p w14:paraId="6F2D91C2">
      <w:pPr>
        <w:spacing w:line="360" w:lineRule="auto"/>
        <w:rPr>
          <w:rFonts w:hint="eastAsia" w:ascii="宋体" w:hAnsi="宋体" w:eastAsia="宋体" w:cs="宋体"/>
          <w:sz w:val="24"/>
          <w:szCs w:val="24"/>
        </w:rPr>
      </w:pPr>
      <w:r>
        <w:rPr>
          <w:rFonts w:hint="eastAsia" w:ascii="宋体" w:hAnsi="宋体" w:eastAsia="宋体" w:cs="宋体"/>
          <w:sz w:val="24"/>
          <w:szCs w:val="24"/>
        </w:rPr>
        <w:t>3.6自己或带他人违反相关规定在科室内洗澡。</w:t>
      </w:r>
    </w:p>
    <w:p w14:paraId="3FD74F10">
      <w:pPr>
        <w:spacing w:line="360" w:lineRule="auto"/>
        <w:rPr>
          <w:rFonts w:hint="eastAsia" w:ascii="宋体" w:hAnsi="宋体" w:eastAsia="宋体" w:cs="宋体"/>
          <w:sz w:val="24"/>
          <w:szCs w:val="24"/>
        </w:rPr>
      </w:pPr>
      <w:r>
        <w:rPr>
          <w:rFonts w:hint="eastAsia" w:ascii="宋体" w:hAnsi="宋体" w:eastAsia="宋体" w:cs="宋体"/>
          <w:sz w:val="24"/>
          <w:szCs w:val="24"/>
        </w:rPr>
        <w:t>3.7电池车在院内充电，如因此发生安全事故，移交公安机关并追究法律责任。</w:t>
      </w:r>
    </w:p>
    <w:p w14:paraId="737242B6">
      <w:pPr>
        <w:spacing w:line="360" w:lineRule="auto"/>
        <w:rPr>
          <w:rFonts w:hint="eastAsia" w:ascii="宋体" w:hAnsi="宋体" w:eastAsia="宋体" w:cs="宋体"/>
          <w:sz w:val="24"/>
          <w:szCs w:val="24"/>
        </w:rPr>
      </w:pPr>
      <w:r>
        <w:rPr>
          <w:rFonts w:hint="eastAsia" w:ascii="宋体" w:hAnsi="宋体" w:eastAsia="宋体" w:cs="宋体"/>
          <w:sz w:val="24"/>
          <w:szCs w:val="24"/>
        </w:rPr>
        <w:t>3.8不按规定使用微波炉，如因此发生安全事故，移交公安机关并追究法律责任。</w:t>
      </w:r>
    </w:p>
    <w:p w14:paraId="2EDED742">
      <w:pPr>
        <w:spacing w:line="360" w:lineRule="auto"/>
        <w:rPr>
          <w:rFonts w:hint="eastAsia" w:ascii="宋体" w:hAnsi="宋体" w:eastAsia="宋体" w:cs="宋体"/>
          <w:sz w:val="24"/>
          <w:szCs w:val="24"/>
        </w:rPr>
      </w:pPr>
      <w:r>
        <w:rPr>
          <w:rFonts w:hint="eastAsia" w:ascii="宋体" w:hAnsi="宋体" w:eastAsia="宋体" w:cs="宋体"/>
          <w:sz w:val="24"/>
          <w:szCs w:val="24"/>
        </w:rPr>
        <w:t>4.中标供应商员工私自携带医院物品出医院按物品原价10倍扣罚中标供应商当月服务费。</w:t>
      </w:r>
    </w:p>
    <w:p w14:paraId="3B7AA4C9">
      <w:pPr>
        <w:spacing w:line="360" w:lineRule="auto"/>
        <w:rPr>
          <w:rFonts w:hint="eastAsia" w:ascii="宋体" w:hAnsi="宋体" w:eastAsia="宋体" w:cs="宋体"/>
          <w:sz w:val="24"/>
          <w:szCs w:val="24"/>
        </w:rPr>
      </w:pPr>
      <w:r>
        <w:rPr>
          <w:rFonts w:hint="eastAsia" w:ascii="宋体" w:hAnsi="宋体" w:eastAsia="宋体" w:cs="宋体"/>
          <w:sz w:val="24"/>
          <w:szCs w:val="24"/>
        </w:rPr>
        <w:t>5.中标供应商员工不服从医院管理人员工作安排，出现辱骂、恐吓、殴打医院管理人员、病人、家属等行为，按情节严重程度扣罚2000—5000元，情节特别严重，采购人有权要求中标供应商立即开除该员工，中标供应商并承担相应</w:t>
      </w:r>
      <w:r>
        <w:rPr>
          <w:rFonts w:hint="eastAsia" w:ascii="宋体" w:hAnsi="宋体" w:eastAsia="宋体" w:cs="宋体"/>
          <w:sz w:val="24"/>
          <w:szCs w:val="24"/>
          <w:lang w:val="en-US" w:eastAsia="zh-CN"/>
        </w:rPr>
        <w:t>责任</w:t>
      </w:r>
      <w:r>
        <w:rPr>
          <w:rFonts w:hint="eastAsia" w:ascii="宋体" w:hAnsi="宋体" w:eastAsia="宋体" w:cs="宋体"/>
          <w:sz w:val="24"/>
          <w:szCs w:val="24"/>
        </w:rPr>
        <w:t>，涉及违法行为移交公安机关追究法律责任。</w:t>
      </w:r>
    </w:p>
    <w:p w14:paraId="6513F20B">
      <w:pPr>
        <w:spacing w:line="360" w:lineRule="auto"/>
        <w:rPr>
          <w:rFonts w:hint="eastAsia" w:ascii="宋体" w:hAnsi="宋体" w:eastAsia="宋体" w:cs="宋体"/>
          <w:sz w:val="24"/>
          <w:szCs w:val="24"/>
        </w:rPr>
      </w:pPr>
      <w:r>
        <w:rPr>
          <w:rFonts w:hint="eastAsia" w:ascii="宋体" w:hAnsi="宋体" w:eastAsia="宋体" w:cs="宋体"/>
          <w:sz w:val="24"/>
          <w:szCs w:val="24"/>
        </w:rPr>
        <w:t>6.项目管理和服务月度质量考评</w:t>
      </w:r>
    </w:p>
    <w:p w14:paraId="330227C3">
      <w:pPr>
        <w:spacing w:line="360" w:lineRule="auto"/>
        <w:rPr>
          <w:rFonts w:hint="eastAsia" w:ascii="宋体" w:hAnsi="宋体" w:eastAsia="宋体" w:cs="宋体"/>
          <w:sz w:val="24"/>
          <w:szCs w:val="24"/>
        </w:rPr>
      </w:pPr>
      <w:r>
        <w:rPr>
          <w:rFonts w:hint="eastAsia" w:ascii="宋体" w:hAnsi="宋体" w:eastAsia="宋体" w:cs="宋体"/>
          <w:sz w:val="24"/>
          <w:szCs w:val="24"/>
        </w:rPr>
        <w:t>质量考核方案：</w:t>
      </w:r>
    </w:p>
    <w:p w14:paraId="537514E6">
      <w:pPr>
        <w:spacing w:line="360" w:lineRule="auto"/>
        <w:rPr>
          <w:rFonts w:hint="eastAsia" w:ascii="宋体" w:hAnsi="宋体" w:eastAsia="宋体" w:cs="宋体"/>
          <w:sz w:val="24"/>
          <w:szCs w:val="24"/>
        </w:rPr>
      </w:pPr>
      <w:r>
        <w:rPr>
          <w:rFonts w:hint="eastAsia" w:ascii="宋体" w:hAnsi="宋体" w:eastAsia="宋体" w:cs="宋体"/>
          <w:sz w:val="24"/>
          <w:szCs w:val="24"/>
        </w:rPr>
        <w:t>（1）如中标人有转包、分包、挂靠，采购人没收全部履约保证金，并有权不支付当月管理费或终止合</w:t>
      </w:r>
      <w:r>
        <w:rPr>
          <w:rFonts w:hint="eastAsia" w:ascii="宋体" w:hAnsi="宋体" w:eastAsia="宋体" w:cs="宋体"/>
          <w:color w:val="auto"/>
          <w:sz w:val="24"/>
          <w:szCs w:val="24"/>
        </w:rPr>
        <w:t>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如遇</w:t>
      </w:r>
      <w:r>
        <w:rPr>
          <w:rFonts w:hint="eastAsia" w:ascii="宋体" w:hAnsi="宋体" w:eastAsia="宋体" w:cs="宋体"/>
          <w:color w:val="auto"/>
          <w:sz w:val="24"/>
          <w:szCs w:val="24"/>
          <w:highlight w:val="none"/>
        </w:rPr>
        <w:t>厨房改造</w:t>
      </w:r>
      <w:r>
        <w:rPr>
          <w:rFonts w:hint="eastAsia" w:ascii="宋体" w:hAnsi="宋体" w:cs="宋体"/>
          <w:color w:val="auto"/>
          <w:sz w:val="24"/>
          <w:szCs w:val="24"/>
          <w:highlight w:val="none"/>
          <w:lang w:eastAsia="zh-CN"/>
        </w:rPr>
        <w:t>或者其他特殊情况，</w:t>
      </w:r>
      <w:r>
        <w:rPr>
          <w:rFonts w:hint="eastAsia" w:ascii="宋体" w:hAnsi="宋体" w:eastAsia="宋体" w:cs="宋体"/>
          <w:color w:val="auto"/>
          <w:sz w:val="24"/>
          <w:szCs w:val="24"/>
          <w:highlight w:val="none"/>
        </w:rPr>
        <w:t>经采购人同意，由中标人与第三方签订的供餐协议除外）</w:t>
      </w:r>
      <w:r>
        <w:rPr>
          <w:rFonts w:hint="eastAsia" w:ascii="宋体" w:hAnsi="宋体" w:eastAsia="宋体" w:cs="宋体"/>
          <w:color w:val="auto"/>
          <w:sz w:val="24"/>
          <w:szCs w:val="24"/>
        </w:rPr>
        <w:t>。</w:t>
      </w:r>
    </w:p>
    <w:p w14:paraId="6790671A">
      <w:pPr>
        <w:spacing w:line="360" w:lineRule="auto"/>
        <w:rPr>
          <w:rFonts w:hint="eastAsia" w:ascii="宋体" w:hAnsi="宋体" w:eastAsia="宋体" w:cs="宋体"/>
          <w:sz w:val="24"/>
          <w:szCs w:val="24"/>
        </w:rPr>
      </w:pPr>
      <w:r>
        <w:rPr>
          <w:rFonts w:hint="eastAsia" w:ascii="宋体" w:hAnsi="宋体" w:eastAsia="宋体" w:cs="宋体"/>
          <w:sz w:val="24"/>
          <w:szCs w:val="24"/>
        </w:rPr>
        <w:t>（2）本项目实行质量与服务月度考核方案，并严格执行，采购人每月对中标人提供的服务进行月度考核，如一年内累计4次考核得分低于70分或累计3次低于60分，采购人有权上报监管部门，由监管部门取消其中标资格，相关损失由中标人自行承担。月度考核评分表如下所示（每半年该评价表细则可经双方协议再修订）：</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52"/>
        <w:gridCol w:w="7066"/>
        <w:gridCol w:w="550"/>
        <w:gridCol w:w="448"/>
      </w:tblGrid>
      <w:tr w14:paraId="059D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5"/>
            <w:shd w:val="clear" w:color="auto" w:fill="auto"/>
            <w:noWrap/>
            <w:vAlign w:val="center"/>
          </w:tcPr>
          <w:p w14:paraId="62D90D4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广州市第十二人民医院职工餐厅服务质量月度考核表</w:t>
            </w:r>
          </w:p>
        </w:tc>
      </w:tr>
      <w:tr w14:paraId="0F05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99" w:type="pct"/>
            <w:gridSpan w:val="3"/>
            <w:shd w:val="clear" w:color="auto" w:fill="auto"/>
            <w:noWrap/>
            <w:vAlign w:val="center"/>
          </w:tcPr>
          <w:p w14:paraId="2C439500">
            <w:pPr>
              <w:rPr>
                <w:rFonts w:hint="eastAsia" w:ascii="宋体" w:hAnsi="宋体" w:eastAsia="宋体" w:cs="宋体"/>
                <w:sz w:val="24"/>
                <w:szCs w:val="24"/>
                <w:highlight w:val="none"/>
              </w:rPr>
            </w:pPr>
            <w:r>
              <w:rPr>
                <w:rFonts w:hint="eastAsia" w:ascii="宋体" w:hAnsi="宋体" w:eastAsia="宋体" w:cs="宋体"/>
                <w:sz w:val="24"/>
                <w:szCs w:val="24"/>
                <w:highlight w:val="none"/>
              </w:rPr>
              <w:t>考核对象：</w:t>
            </w:r>
          </w:p>
        </w:tc>
        <w:tc>
          <w:tcPr>
            <w:tcW w:w="276" w:type="pct"/>
            <w:shd w:val="clear" w:color="auto" w:fill="auto"/>
            <w:noWrap/>
            <w:vAlign w:val="center"/>
          </w:tcPr>
          <w:p w14:paraId="2284E854">
            <w:pPr>
              <w:rPr>
                <w:rFonts w:hint="eastAsia" w:ascii="宋体" w:hAnsi="宋体" w:eastAsia="宋体" w:cs="宋体"/>
                <w:sz w:val="24"/>
                <w:szCs w:val="24"/>
                <w:highlight w:val="none"/>
              </w:rPr>
            </w:pPr>
          </w:p>
        </w:tc>
        <w:tc>
          <w:tcPr>
            <w:tcW w:w="224" w:type="pct"/>
            <w:shd w:val="clear" w:color="auto" w:fill="auto"/>
            <w:noWrap/>
            <w:vAlign w:val="center"/>
          </w:tcPr>
          <w:p w14:paraId="28E39BB7">
            <w:pPr>
              <w:rPr>
                <w:rFonts w:hint="eastAsia" w:ascii="宋体" w:hAnsi="宋体" w:eastAsia="宋体" w:cs="宋体"/>
                <w:sz w:val="24"/>
                <w:szCs w:val="24"/>
                <w:highlight w:val="none"/>
              </w:rPr>
            </w:pPr>
          </w:p>
        </w:tc>
      </w:tr>
      <w:tr w14:paraId="4E4B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73F7AED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考核模块</w:t>
            </w:r>
          </w:p>
        </w:tc>
        <w:tc>
          <w:tcPr>
            <w:tcW w:w="477" w:type="pct"/>
            <w:shd w:val="clear" w:color="auto" w:fill="auto"/>
            <w:noWrap/>
            <w:vAlign w:val="center"/>
          </w:tcPr>
          <w:p w14:paraId="6F1FD8F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评价指标</w:t>
            </w:r>
          </w:p>
        </w:tc>
        <w:tc>
          <w:tcPr>
            <w:tcW w:w="3546" w:type="pct"/>
            <w:shd w:val="clear" w:color="auto" w:fill="auto"/>
            <w:noWrap/>
            <w:vAlign w:val="center"/>
          </w:tcPr>
          <w:p w14:paraId="6767FC4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考核标准</w:t>
            </w:r>
          </w:p>
        </w:tc>
        <w:tc>
          <w:tcPr>
            <w:tcW w:w="276" w:type="pct"/>
            <w:shd w:val="clear" w:color="auto" w:fill="auto"/>
            <w:noWrap/>
            <w:vAlign w:val="center"/>
          </w:tcPr>
          <w:p w14:paraId="36EC0B3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224" w:type="pct"/>
            <w:shd w:val="clear" w:color="auto" w:fill="auto"/>
            <w:noWrap/>
            <w:vAlign w:val="center"/>
          </w:tcPr>
          <w:p w14:paraId="2CB92E4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得分</w:t>
            </w:r>
          </w:p>
        </w:tc>
      </w:tr>
      <w:tr w14:paraId="4F16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474" w:type="pct"/>
            <w:vMerge w:val="restart"/>
            <w:shd w:val="clear" w:color="auto" w:fill="auto"/>
            <w:noWrap/>
            <w:vAlign w:val="center"/>
          </w:tcPr>
          <w:p w14:paraId="55833580">
            <w:pPr>
              <w:rPr>
                <w:rFonts w:hint="eastAsia" w:ascii="宋体" w:hAnsi="宋体" w:eastAsia="宋体" w:cs="宋体"/>
                <w:sz w:val="24"/>
                <w:szCs w:val="24"/>
                <w:highlight w:val="none"/>
              </w:rPr>
            </w:pPr>
            <w:r>
              <w:rPr>
                <w:rFonts w:hint="eastAsia" w:ascii="宋体" w:hAnsi="宋体" w:eastAsia="宋体" w:cs="宋体"/>
                <w:sz w:val="24"/>
                <w:szCs w:val="24"/>
                <w:highlight w:val="none"/>
              </w:rPr>
              <w:t>安全标准（45）</w:t>
            </w:r>
          </w:p>
        </w:tc>
        <w:tc>
          <w:tcPr>
            <w:tcW w:w="477" w:type="pct"/>
            <w:vMerge w:val="restart"/>
            <w:shd w:val="clear" w:color="auto" w:fill="auto"/>
            <w:noWrap/>
            <w:vAlign w:val="center"/>
          </w:tcPr>
          <w:p w14:paraId="6D91CDB0">
            <w:pPr>
              <w:rPr>
                <w:rFonts w:hint="eastAsia" w:ascii="宋体" w:hAnsi="宋体" w:eastAsia="宋体" w:cs="宋体"/>
                <w:sz w:val="24"/>
                <w:szCs w:val="24"/>
                <w:highlight w:val="none"/>
              </w:rPr>
            </w:pPr>
            <w:r>
              <w:rPr>
                <w:rFonts w:hint="eastAsia" w:ascii="宋体" w:hAnsi="宋体" w:eastAsia="宋体" w:cs="宋体"/>
                <w:sz w:val="24"/>
                <w:szCs w:val="24"/>
                <w:highlight w:val="none"/>
              </w:rPr>
              <w:t>生产安全</w:t>
            </w:r>
          </w:p>
        </w:tc>
        <w:tc>
          <w:tcPr>
            <w:tcW w:w="3546" w:type="pct"/>
            <w:shd w:val="clear" w:color="auto" w:fill="auto"/>
            <w:noWrap/>
          </w:tcPr>
          <w:p w14:paraId="6EC72A19">
            <w:pPr>
              <w:rPr>
                <w:rFonts w:hint="eastAsia" w:ascii="宋体" w:hAnsi="宋体" w:eastAsia="宋体" w:cs="宋体"/>
                <w:sz w:val="24"/>
                <w:szCs w:val="24"/>
                <w:highlight w:val="none"/>
              </w:rPr>
            </w:pPr>
            <w:r>
              <w:rPr>
                <w:rFonts w:hint="eastAsia" w:ascii="宋体" w:hAnsi="宋体" w:eastAsia="宋体" w:cs="宋体"/>
                <w:sz w:val="24"/>
                <w:szCs w:val="24"/>
                <w:highlight w:val="none"/>
              </w:rPr>
              <w:t>1.关键记录不得缺失，如巡查记录、餐具消毒记录、食品留样记录、食品添加剂使用记录、燃气用电使用记录、安全卫生检查记录、外来人员登记记录、消毒品配置记录、农残检测记录、每日人员健康检查记录、培训记录等，应如实记录，符合常识，不得伪造记录。</w:t>
            </w:r>
          </w:p>
        </w:tc>
        <w:tc>
          <w:tcPr>
            <w:tcW w:w="276" w:type="pct"/>
            <w:vMerge w:val="restart"/>
            <w:shd w:val="clear" w:color="auto" w:fill="auto"/>
            <w:noWrap/>
            <w:vAlign w:val="center"/>
          </w:tcPr>
          <w:p w14:paraId="715E1140">
            <w:pP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224" w:type="pct"/>
            <w:vMerge w:val="restart"/>
            <w:shd w:val="clear" w:color="auto" w:fill="auto"/>
            <w:noWrap/>
          </w:tcPr>
          <w:p w14:paraId="6AC60DCC">
            <w:pPr>
              <w:rPr>
                <w:rFonts w:hint="eastAsia" w:ascii="宋体" w:hAnsi="宋体" w:eastAsia="宋体" w:cs="宋体"/>
                <w:sz w:val="24"/>
                <w:szCs w:val="24"/>
                <w:highlight w:val="none"/>
              </w:rPr>
            </w:pPr>
          </w:p>
        </w:tc>
      </w:tr>
      <w:tr w14:paraId="0478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74" w:type="pct"/>
            <w:vMerge w:val="continue"/>
            <w:shd w:val="clear" w:color="auto" w:fill="auto"/>
            <w:noWrap/>
            <w:vAlign w:val="center"/>
          </w:tcPr>
          <w:p w14:paraId="4D680115">
            <w:pPr>
              <w:rPr>
                <w:rFonts w:hint="eastAsia" w:ascii="宋体" w:hAnsi="宋体" w:eastAsia="宋体" w:cs="宋体"/>
                <w:sz w:val="24"/>
                <w:szCs w:val="24"/>
                <w:highlight w:val="none"/>
              </w:rPr>
            </w:pPr>
          </w:p>
        </w:tc>
        <w:tc>
          <w:tcPr>
            <w:tcW w:w="477" w:type="pct"/>
            <w:vMerge w:val="continue"/>
            <w:shd w:val="clear" w:color="auto" w:fill="auto"/>
            <w:noWrap/>
            <w:vAlign w:val="center"/>
          </w:tcPr>
          <w:p w14:paraId="738156AC">
            <w:pPr>
              <w:rPr>
                <w:rFonts w:hint="eastAsia" w:ascii="宋体" w:hAnsi="宋体" w:eastAsia="宋体" w:cs="宋体"/>
                <w:sz w:val="24"/>
                <w:szCs w:val="24"/>
                <w:highlight w:val="none"/>
              </w:rPr>
            </w:pPr>
          </w:p>
        </w:tc>
        <w:tc>
          <w:tcPr>
            <w:tcW w:w="3546" w:type="pct"/>
            <w:shd w:val="clear" w:color="auto" w:fill="auto"/>
            <w:noWrap/>
          </w:tcPr>
          <w:p w14:paraId="26700AC6">
            <w:pPr>
              <w:rPr>
                <w:rFonts w:hint="eastAsia" w:ascii="宋体" w:hAnsi="宋体" w:eastAsia="宋体" w:cs="宋体"/>
                <w:sz w:val="24"/>
                <w:szCs w:val="24"/>
                <w:highlight w:val="none"/>
              </w:rPr>
            </w:pPr>
            <w:r>
              <w:rPr>
                <w:rFonts w:hint="eastAsia" w:ascii="宋体" w:hAnsi="宋体" w:eastAsia="宋体" w:cs="宋体"/>
                <w:sz w:val="24"/>
                <w:szCs w:val="24"/>
                <w:highlight w:val="none"/>
              </w:rPr>
              <w:t>2.应协助验收食材，不得验收腐烂、异味、外包装破损、过期等存在质量问题的食材，严禁使用非食用物质加工食品，加工食物不得使用过期原辅料。</w:t>
            </w:r>
          </w:p>
        </w:tc>
        <w:tc>
          <w:tcPr>
            <w:tcW w:w="276" w:type="pct"/>
            <w:vMerge w:val="continue"/>
            <w:noWrap/>
            <w:vAlign w:val="center"/>
          </w:tcPr>
          <w:p w14:paraId="0A709306">
            <w:pPr>
              <w:rPr>
                <w:rFonts w:hint="eastAsia" w:ascii="宋体" w:hAnsi="宋体" w:eastAsia="宋体" w:cs="宋体"/>
                <w:sz w:val="24"/>
                <w:szCs w:val="24"/>
                <w:highlight w:val="none"/>
              </w:rPr>
            </w:pPr>
          </w:p>
        </w:tc>
        <w:tc>
          <w:tcPr>
            <w:tcW w:w="224" w:type="pct"/>
            <w:vMerge w:val="continue"/>
            <w:noWrap/>
            <w:vAlign w:val="center"/>
          </w:tcPr>
          <w:p w14:paraId="4F10B533">
            <w:pPr>
              <w:rPr>
                <w:rFonts w:hint="eastAsia" w:ascii="宋体" w:hAnsi="宋体" w:eastAsia="宋体" w:cs="宋体"/>
                <w:sz w:val="24"/>
                <w:szCs w:val="24"/>
                <w:highlight w:val="none"/>
              </w:rPr>
            </w:pPr>
          </w:p>
        </w:tc>
      </w:tr>
      <w:tr w14:paraId="072D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67C074BB">
            <w:pPr>
              <w:rPr>
                <w:rFonts w:hint="eastAsia" w:ascii="宋体" w:hAnsi="宋体" w:eastAsia="宋体" w:cs="宋体"/>
                <w:sz w:val="24"/>
                <w:szCs w:val="24"/>
                <w:highlight w:val="none"/>
              </w:rPr>
            </w:pPr>
          </w:p>
        </w:tc>
        <w:tc>
          <w:tcPr>
            <w:tcW w:w="477" w:type="pct"/>
            <w:vMerge w:val="continue"/>
            <w:shd w:val="clear" w:color="auto" w:fill="auto"/>
            <w:noWrap/>
            <w:vAlign w:val="center"/>
          </w:tcPr>
          <w:p w14:paraId="279B3EA3">
            <w:pPr>
              <w:rPr>
                <w:rFonts w:hint="eastAsia" w:ascii="宋体" w:hAnsi="宋体" w:eastAsia="宋体" w:cs="宋体"/>
                <w:sz w:val="24"/>
                <w:szCs w:val="24"/>
                <w:highlight w:val="none"/>
              </w:rPr>
            </w:pPr>
          </w:p>
        </w:tc>
        <w:tc>
          <w:tcPr>
            <w:tcW w:w="3546" w:type="pct"/>
            <w:shd w:val="clear" w:color="auto" w:fill="auto"/>
            <w:noWrap/>
          </w:tcPr>
          <w:p w14:paraId="31133D77">
            <w:pPr>
              <w:rPr>
                <w:rFonts w:hint="eastAsia" w:ascii="宋体" w:hAnsi="宋体" w:eastAsia="宋体" w:cs="宋体"/>
                <w:sz w:val="24"/>
                <w:szCs w:val="24"/>
                <w:highlight w:val="none"/>
              </w:rPr>
            </w:pPr>
            <w:r>
              <w:rPr>
                <w:rFonts w:hint="eastAsia" w:ascii="宋体" w:hAnsi="宋体" w:eastAsia="宋体" w:cs="宋体"/>
                <w:sz w:val="24"/>
                <w:szCs w:val="24"/>
                <w:highlight w:val="none"/>
              </w:rPr>
              <w:t>3.添加剂必须符合GB2760的要求，添加剂的使用量必须符合GB2760要求，不得随意使用非食品添加剂。</w:t>
            </w:r>
          </w:p>
        </w:tc>
        <w:tc>
          <w:tcPr>
            <w:tcW w:w="276" w:type="pct"/>
            <w:vMerge w:val="continue"/>
            <w:noWrap/>
            <w:vAlign w:val="center"/>
          </w:tcPr>
          <w:p w14:paraId="106C9DAF">
            <w:pPr>
              <w:rPr>
                <w:rFonts w:hint="eastAsia" w:ascii="宋体" w:hAnsi="宋体" w:eastAsia="宋体" w:cs="宋体"/>
                <w:sz w:val="24"/>
                <w:szCs w:val="24"/>
                <w:highlight w:val="none"/>
              </w:rPr>
            </w:pPr>
          </w:p>
        </w:tc>
        <w:tc>
          <w:tcPr>
            <w:tcW w:w="224" w:type="pct"/>
            <w:vMerge w:val="continue"/>
            <w:noWrap/>
            <w:vAlign w:val="center"/>
          </w:tcPr>
          <w:p w14:paraId="6FDF5AC7">
            <w:pPr>
              <w:rPr>
                <w:rFonts w:hint="eastAsia" w:ascii="宋体" w:hAnsi="宋体" w:eastAsia="宋体" w:cs="宋体"/>
                <w:sz w:val="24"/>
                <w:szCs w:val="24"/>
                <w:highlight w:val="none"/>
              </w:rPr>
            </w:pPr>
          </w:p>
        </w:tc>
      </w:tr>
      <w:tr w14:paraId="73AB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16DF4576">
            <w:pPr>
              <w:rPr>
                <w:rFonts w:hint="eastAsia" w:ascii="宋体" w:hAnsi="宋体" w:eastAsia="宋体" w:cs="宋体"/>
                <w:sz w:val="24"/>
                <w:szCs w:val="24"/>
                <w:highlight w:val="none"/>
              </w:rPr>
            </w:pPr>
          </w:p>
        </w:tc>
        <w:tc>
          <w:tcPr>
            <w:tcW w:w="477" w:type="pct"/>
            <w:vMerge w:val="continue"/>
            <w:shd w:val="clear" w:color="auto" w:fill="auto"/>
            <w:noWrap/>
            <w:vAlign w:val="center"/>
          </w:tcPr>
          <w:p w14:paraId="73AD6360">
            <w:pPr>
              <w:rPr>
                <w:rFonts w:hint="eastAsia" w:ascii="宋体" w:hAnsi="宋体" w:eastAsia="宋体" w:cs="宋体"/>
                <w:sz w:val="24"/>
                <w:szCs w:val="24"/>
                <w:highlight w:val="none"/>
              </w:rPr>
            </w:pPr>
          </w:p>
        </w:tc>
        <w:tc>
          <w:tcPr>
            <w:tcW w:w="3546" w:type="pct"/>
            <w:shd w:val="clear" w:color="auto" w:fill="auto"/>
            <w:noWrap/>
          </w:tcPr>
          <w:p w14:paraId="2A791FA6">
            <w:pPr>
              <w:rPr>
                <w:rFonts w:hint="eastAsia" w:ascii="宋体" w:hAnsi="宋体" w:eastAsia="宋体" w:cs="宋体"/>
                <w:sz w:val="24"/>
                <w:szCs w:val="24"/>
                <w:highlight w:val="none"/>
              </w:rPr>
            </w:pPr>
            <w:r>
              <w:rPr>
                <w:rFonts w:hint="eastAsia" w:ascii="宋体" w:hAnsi="宋体" w:eastAsia="宋体" w:cs="宋体"/>
                <w:sz w:val="24"/>
                <w:szCs w:val="24"/>
                <w:highlight w:val="none"/>
              </w:rPr>
              <w:t>4.烹调前应认真检查待加工食品，发现有腐烂、变质或者其他感官性状异常的，不得进行烹调加工。</w:t>
            </w:r>
          </w:p>
        </w:tc>
        <w:tc>
          <w:tcPr>
            <w:tcW w:w="276" w:type="pct"/>
            <w:vMerge w:val="continue"/>
            <w:noWrap/>
            <w:vAlign w:val="center"/>
          </w:tcPr>
          <w:p w14:paraId="4D4A4EFE">
            <w:pPr>
              <w:rPr>
                <w:rFonts w:hint="eastAsia" w:ascii="宋体" w:hAnsi="宋体" w:eastAsia="宋体" w:cs="宋体"/>
                <w:sz w:val="24"/>
                <w:szCs w:val="24"/>
                <w:highlight w:val="none"/>
              </w:rPr>
            </w:pPr>
          </w:p>
        </w:tc>
        <w:tc>
          <w:tcPr>
            <w:tcW w:w="224" w:type="pct"/>
            <w:vMerge w:val="continue"/>
            <w:noWrap/>
            <w:vAlign w:val="center"/>
          </w:tcPr>
          <w:p w14:paraId="6900EB5B">
            <w:pPr>
              <w:rPr>
                <w:rFonts w:hint="eastAsia" w:ascii="宋体" w:hAnsi="宋体" w:eastAsia="宋体" w:cs="宋体"/>
                <w:sz w:val="24"/>
                <w:szCs w:val="24"/>
                <w:highlight w:val="none"/>
              </w:rPr>
            </w:pPr>
          </w:p>
        </w:tc>
      </w:tr>
      <w:tr w14:paraId="31C7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6838D8C6">
            <w:pPr>
              <w:rPr>
                <w:rFonts w:hint="eastAsia" w:ascii="宋体" w:hAnsi="宋体" w:eastAsia="宋体" w:cs="宋体"/>
                <w:sz w:val="24"/>
                <w:szCs w:val="24"/>
                <w:highlight w:val="none"/>
              </w:rPr>
            </w:pPr>
          </w:p>
        </w:tc>
        <w:tc>
          <w:tcPr>
            <w:tcW w:w="477" w:type="pct"/>
            <w:vMerge w:val="continue"/>
            <w:shd w:val="clear" w:color="auto" w:fill="auto"/>
            <w:noWrap/>
            <w:vAlign w:val="center"/>
          </w:tcPr>
          <w:p w14:paraId="6710C0D0">
            <w:pPr>
              <w:rPr>
                <w:rFonts w:hint="eastAsia" w:ascii="宋体" w:hAnsi="宋体" w:eastAsia="宋体" w:cs="宋体"/>
                <w:sz w:val="24"/>
                <w:szCs w:val="24"/>
                <w:highlight w:val="none"/>
              </w:rPr>
            </w:pPr>
          </w:p>
        </w:tc>
        <w:tc>
          <w:tcPr>
            <w:tcW w:w="3546" w:type="pct"/>
            <w:shd w:val="clear" w:color="auto" w:fill="auto"/>
            <w:noWrap/>
          </w:tcPr>
          <w:p w14:paraId="61F60BEC">
            <w:pPr>
              <w:rPr>
                <w:rFonts w:hint="eastAsia" w:ascii="宋体" w:hAnsi="宋体" w:eastAsia="宋体" w:cs="宋体"/>
                <w:sz w:val="24"/>
                <w:szCs w:val="24"/>
                <w:highlight w:val="none"/>
              </w:rPr>
            </w:pPr>
            <w:r>
              <w:rPr>
                <w:rFonts w:hint="eastAsia" w:ascii="宋体" w:hAnsi="宋体" w:eastAsia="宋体" w:cs="宋体"/>
                <w:sz w:val="24"/>
                <w:szCs w:val="24"/>
                <w:highlight w:val="none"/>
              </w:rPr>
              <w:t>5.需要冷藏的熟制品，应尽快冷却后再冷藏，待用的食品与用具等应有良好覆盖或保护。</w:t>
            </w:r>
          </w:p>
        </w:tc>
        <w:tc>
          <w:tcPr>
            <w:tcW w:w="276" w:type="pct"/>
            <w:vMerge w:val="continue"/>
            <w:noWrap/>
            <w:vAlign w:val="center"/>
          </w:tcPr>
          <w:p w14:paraId="1885B93A">
            <w:pPr>
              <w:rPr>
                <w:rFonts w:hint="eastAsia" w:ascii="宋体" w:hAnsi="宋体" w:eastAsia="宋体" w:cs="宋体"/>
                <w:sz w:val="24"/>
                <w:szCs w:val="24"/>
                <w:highlight w:val="none"/>
              </w:rPr>
            </w:pPr>
          </w:p>
        </w:tc>
        <w:tc>
          <w:tcPr>
            <w:tcW w:w="224" w:type="pct"/>
            <w:vMerge w:val="continue"/>
            <w:noWrap/>
            <w:vAlign w:val="center"/>
          </w:tcPr>
          <w:p w14:paraId="75FCBBAB">
            <w:pPr>
              <w:rPr>
                <w:rFonts w:hint="eastAsia" w:ascii="宋体" w:hAnsi="宋体" w:eastAsia="宋体" w:cs="宋体"/>
                <w:sz w:val="24"/>
                <w:szCs w:val="24"/>
                <w:highlight w:val="none"/>
              </w:rPr>
            </w:pPr>
          </w:p>
        </w:tc>
      </w:tr>
      <w:tr w14:paraId="68C5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27AA1389">
            <w:pPr>
              <w:rPr>
                <w:rFonts w:hint="eastAsia" w:ascii="宋体" w:hAnsi="宋体" w:eastAsia="宋体" w:cs="宋体"/>
                <w:sz w:val="24"/>
                <w:szCs w:val="24"/>
                <w:highlight w:val="none"/>
              </w:rPr>
            </w:pPr>
          </w:p>
        </w:tc>
        <w:tc>
          <w:tcPr>
            <w:tcW w:w="477" w:type="pct"/>
            <w:vMerge w:val="continue"/>
            <w:shd w:val="clear" w:color="auto" w:fill="auto"/>
            <w:noWrap/>
            <w:vAlign w:val="center"/>
          </w:tcPr>
          <w:p w14:paraId="3F41B29D">
            <w:pPr>
              <w:rPr>
                <w:rFonts w:hint="eastAsia" w:ascii="宋体" w:hAnsi="宋体" w:eastAsia="宋体" w:cs="宋体"/>
                <w:sz w:val="24"/>
                <w:szCs w:val="24"/>
                <w:highlight w:val="none"/>
              </w:rPr>
            </w:pPr>
          </w:p>
        </w:tc>
        <w:tc>
          <w:tcPr>
            <w:tcW w:w="3546" w:type="pct"/>
            <w:shd w:val="clear" w:color="auto" w:fill="auto"/>
            <w:noWrap/>
          </w:tcPr>
          <w:p w14:paraId="7EBA383D">
            <w:pPr>
              <w:rPr>
                <w:rFonts w:hint="eastAsia" w:ascii="宋体" w:hAnsi="宋体" w:eastAsia="宋体" w:cs="宋体"/>
                <w:sz w:val="24"/>
                <w:szCs w:val="24"/>
                <w:highlight w:val="none"/>
              </w:rPr>
            </w:pPr>
            <w:r>
              <w:rPr>
                <w:rFonts w:hint="eastAsia" w:ascii="宋体" w:hAnsi="宋体" w:eastAsia="宋体" w:cs="宋体"/>
                <w:sz w:val="24"/>
                <w:szCs w:val="24"/>
                <w:highlight w:val="none"/>
              </w:rPr>
              <w:t>6.建立食品留样制度并有效实施，所有食品都应建立留样制度，食品留样在在冷藏条件下存放48小时，每个留样不少于100g。</w:t>
            </w:r>
          </w:p>
        </w:tc>
        <w:tc>
          <w:tcPr>
            <w:tcW w:w="276" w:type="pct"/>
            <w:vMerge w:val="continue"/>
            <w:noWrap/>
            <w:vAlign w:val="center"/>
          </w:tcPr>
          <w:p w14:paraId="271C03A5">
            <w:pPr>
              <w:rPr>
                <w:rFonts w:hint="eastAsia" w:ascii="宋体" w:hAnsi="宋体" w:eastAsia="宋体" w:cs="宋体"/>
                <w:sz w:val="24"/>
                <w:szCs w:val="24"/>
                <w:highlight w:val="none"/>
              </w:rPr>
            </w:pPr>
          </w:p>
        </w:tc>
        <w:tc>
          <w:tcPr>
            <w:tcW w:w="224" w:type="pct"/>
            <w:vMerge w:val="continue"/>
            <w:noWrap/>
            <w:vAlign w:val="center"/>
          </w:tcPr>
          <w:p w14:paraId="245B7605">
            <w:pPr>
              <w:rPr>
                <w:rFonts w:hint="eastAsia" w:ascii="宋体" w:hAnsi="宋体" w:eastAsia="宋体" w:cs="宋体"/>
                <w:sz w:val="24"/>
                <w:szCs w:val="24"/>
                <w:highlight w:val="none"/>
              </w:rPr>
            </w:pPr>
          </w:p>
        </w:tc>
      </w:tr>
      <w:tr w14:paraId="30D3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3352CBD0">
            <w:pPr>
              <w:rPr>
                <w:rFonts w:hint="eastAsia" w:ascii="宋体" w:hAnsi="宋体" w:eastAsia="宋体" w:cs="宋体"/>
                <w:sz w:val="24"/>
                <w:szCs w:val="24"/>
                <w:highlight w:val="none"/>
              </w:rPr>
            </w:pPr>
          </w:p>
        </w:tc>
        <w:tc>
          <w:tcPr>
            <w:tcW w:w="477" w:type="pct"/>
            <w:vMerge w:val="continue"/>
            <w:shd w:val="clear" w:color="auto" w:fill="auto"/>
            <w:noWrap/>
            <w:vAlign w:val="center"/>
          </w:tcPr>
          <w:p w14:paraId="7D25F773">
            <w:pPr>
              <w:rPr>
                <w:rFonts w:hint="eastAsia" w:ascii="宋体" w:hAnsi="宋体" w:eastAsia="宋体" w:cs="宋体"/>
                <w:sz w:val="24"/>
                <w:szCs w:val="24"/>
                <w:highlight w:val="none"/>
              </w:rPr>
            </w:pPr>
          </w:p>
        </w:tc>
        <w:tc>
          <w:tcPr>
            <w:tcW w:w="3546" w:type="pct"/>
            <w:shd w:val="clear" w:color="auto" w:fill="auto"/>
            <w:noWrap/>
          </w:tcPr>
          <w:p w14:paraId="3BE1FE16">
            <w:pPr>
              <w:rPr>
                <w:rFonts w:hint="eastAsia" w:ascii="宋体" w:hAnsi="宋体" w:eastAsia="宋体" w:cs="宋体"/>
                <w:sz w:val="24"/>
                <w:szCs w:val="24"/>
                <w:highlight w:val="none"/>
              </w:rPr>
            </w:pPr>
            <w:r>
              <w:rPr>
                <w:rFonts w:hint="eastAsia" w:ascii="宋体" w:hAnsi="宋体" w:eastAsia="宋体" w:cs="宋体"/>
                <w:sz w:val="24"/>
                <w:szCs w:val="24"/>
                <w:highlight w:val="none"/>
              </w:rPr>
              <w:t>7.操作间不得存在挂架超重，物品存储不得存在滑倒、碰撞、密闭空间关人等风险。</w:t>
            </w:r>
          </w:p>
        </w:tc>
        <w:tc>
          <w:tcPr>
            <w:tcW w:w="276" w:type="pct"/>
            <w:vMerge w:val="continue"/>
            <w:noWrap/>
            <w:vAlign w:val="center"/>
          </w:tcPr>
          <w:p w14:paraId="5A0FF44D">
            <w:pPr>
              <w:rPr>
                <w:rFonts w:hint="eastAsia" w:ascii="宋体" w:hAnsi="宋体" w:eastAsia="宋体" w:cs="宋体"/>
                <w:sz w:val="24"/>
                <w:szCs w:val="24"/>
                <w:highlight w:val="none"/>
              </w:rPr>
            </w:pPr>
          </w:p>
        </w:tc>
        <w:tc>
          <w:tcPr>
            <w:tcW w:w="224" w:type="pct"/>
            <w:vMerge w:val="continue"/>
            <w:noWrap/>
            <w:vAlign w:val="center"/>
          </w:tcPr>
          <w:p w14:paraId="4BAE0EF6">
            <w:pPr>
              <w:rPr>
                <w:rFonts w:hint="eastAsia" w:ascii="宋体" w:hAnsi="宋体" w:eastAsia="宋体" w:cs="宋体"/>
                <w:sz w:val="24"/>
                <w:szCs w:val="24"/>
                <w:highlight w:val="none"/>
              </w:rPr>
            </w:pPr>
          </w:p>
        </w:tc>
      </w:tr>
      <w:tr w14:paraId="3A1E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474" w:type="pct"/>
            <w:vMerge w:val="continue"/>
            <w:shd w:val="clear" w:color="auto" w:fill="auto"/>
            <w:noWrap/>
            <w:vAlign w:val="center"/>
          </w:tcPr>
          <w:p w14:paraId="2E7C0E40">
            <w:pPr>
              <w:rPr>
                <w:rFonts w:hint="eastAsia" w:ascii="宋体" w:hAnsi="宋体" w:eastAsia="宋体" w:cs="宋体"/>
                <w:sz w:val="24"/>
                <w:szCs w:val="24"/>
                <w:highlight w:val="none"/>
              </w:rPr>
            </w:pPr>
          </w:p>
        </w:tc>
        <w:tc>
          <w:tcPr>
            <w:tcW w:w="477" w:type="pct"/>
            <w:vMerge w:val="continue"/>
            <w:shd w:val="clear" w:color="auto" w:fill="auto"/>
            <w:noWrap/>
            <w:vAlign w:val="center"/>
          </w:tcPr>
          <w:p w14:paraId="360B3FF1">
            <w:pPr>
              <w:rPr>
                <w:rFonts w:hint="eastAsia" w:ascii="宋体" w:hAnsi="宋体" w:eastAsia="宋体" w:cs="宋体"/>
                <w:sz w:val="24"/>
                <w:szCs w:val="24"/>
                <w:highlight w:val="none"/>
              </w:rPr>
            </w:pPr>
          </w:p>
        </w:tc>
        <w:tc>
          <w:tcPr>
            <w:tcW w:w="3546" w:type="pct"/>
            <w:shd w:val="clear" w:color="auto" w:fill="auto"/>
            <w:noWrap/>
          </w:tcPr>
          <w:p w14:paraId="533BD83F">
            <w:pPr>
              <w:rPr>
                <w:rFonts w:hint="eastAsia" w:ascii="宋体" w:hAnsi="宋体" w:eastAsia="宋体" w:cs="宋体"/>
                <w:sz w:val="24"/>
                <w:szCs w:val="24"/>
                <w:highlight w:val="none"/>
              </w:rPr>
            </w:pPr>
            <w:r>
              <w:rPr>
                <w:rFonts w:hint="eastAsia" w:ascii="宋体" w:hAnsi="宋体" w:eastAsia="宋体" w:cs="宋体"/>
                <w:sz w:val="24"/>
                <w:szCs w:val="24"/>
                <w:highlight w:val="none"/>
              </w:rPr>
              <w:t>8.烹调过程所使用的工器具、厨具、餐具、设备应正常使用和经过充分清洗和消毒，员工能够按照相应的程序正确清洗与消毒，清洗过程不造成交叉污染，清洗后的餐具和工器具保持清洁和清洗干净，待用工器具应正确存放。</w:t>
            </w:r>
          </w:p>
        </w:tc>
        <w:tc>
          <w:tcPr>
            <w:tcW w:w="276" w:type="pct"/>
            <w:vMerge w:val="continue"/>
            <w:noWrap/>
            <w:vAlign w:val="center"/>
          </w:tcPr>
          <w:p w14:paraId="24551060">
            <w:pPr>
              <w:rPr>
                <w:rFonts w:hint="eastAsia" w:ascii="宋体" w:hAnsi="宋体" w:eastAsia="宋体" w:cs="宋体"/>
                <w:sz w:val="24"/>
                <w:szCs w:val="24"/>
                <w:highlight w:val="none"/>
              </w:rPr>
            </w:pPr>
          </w:p>
        </w:tc>
        <w:tc>
          <w:tcPr>
            <w:tcW w:w="224" w:type="pct"/>
            <w:vMerge w:val="continue"/>
            <w:noWrap/>
            <w:vAlign w:val="center"/>
          </w:tcPr>
          <w:p w14:paraId="04FC6EF6">
            <w:pPr>
              <w:rPr>
                <w:rFonts w:hint="eastAsia" w:ascii="宋体" w:hAnsi="宋体" w:eastAsia="宋体" w:cs="宋体"/>
                <w:sz w:val="24"/>
                <w:szCs w:val="24"/>
                <w:highlight w:val="none"/>
              </w:rPr>
            </w:pPr>
          </w:p>
        </w:tc>
      </w:tr>
      <w:tr w14:paraId="4E32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74" w:type="pct"/>
            <w:vMerge w:val="continue"/>
            <w:shd w:val="clear" w:color="auto" w:fill="auto"/>
            <w:noWrap/>
            <w:vAlign w:val="center"/>
          </w:tcPr>
          <w:p w14:paraId="5A0421AB">
            <w:pPr>
              <w:rPr>
                <w:rFonts w:hint="eastAsia" w:ascii="宋体" w:hAnsi="宋体" w:eastAsia="宋体" w:cs="宋体"/>
                <w:sz w:val="24"/>
                <w:szCs w:val="24"/>
                <w:highlight w:val="none"/>
              </w:rPr>
            </w:pPr>
          </w:p>
        </w:tc>
        <w:tc>
          <w:tcPr>
            <w:tcW w:w="477" w:type="pct"/>
            <w:vMerge w:val="continue"/>
            <w:shd w:val="clear" w:color="auto" w:fill="auto"/>
            <w:noWrap/>
            <w:vAlign w:val="center"/>
          </w:tcPr>
          <w:p w14:paraId="0D55CE3B">
            <w:pPr>
              <w:rPr>
                <w:rFonts w:hint="eastAsia" w:ascii="宋体" w:hAnsi="宋体" w:eastAsia="宋体" w:cs="宋体"/>
                <w:sz w:val="24"/>
                <w:szCs w:val="24"/>
                <w:highlight w:val="none"/>
              </w:rPr>
            </w:pPr>
          </w:p>
        </w:tc>
        <w:tc>
          <w:tcPr>
            <w:tcW w:w="3546" w:type="pct"/>
            <w:shd w:val="clear" w:color="auto" w:fill="auto"/>
            <w:noWrap/>
          </w:tcPr>
          <w:p w14:paraId="37C8F241">
            <w:pPr>
              <w:rPr>
                <w:rFonts w:hint="eastAsia" w:ascii="宋体" w:hAnsi="宋体" w:eastAsia="宋体" w:cs="宋体"/>
                <w:sz w:val="24"/>
                <w:szCs w:val="24"/>
                <w:highlight w:val="none"/>
              </w:rPr>
            </w:pPr>
            <w:r>
              <w:rPr>
                <w:rFonts w:hint="eastAsia" w:ascii="宋体" w:hAnsi="宋体" w:eastAsia="宋体" w:cs="宋体"/>
                <w:sz w:val="24"/>
                <w:szCs w:val="24"/>
                <w:highlight w:val="none"/>
              </w:rPr>
              <w:t>（发现违反上述规定，每次扣1分）</w:t>
            </w:r>
          </w:p>
        </w:tc>
        <w:tc>
          <w:tcPr>
            <w:tcW w:w="276" w:type="pct"/>
            <w:vMerge w:val="continue"/>
            <w:noWrap/>
            <w:vAlign w:val="center"/>
          </w:tcPr>
          <w:p w14:paraId="19EC75A4">
            <w:pPr>
              <w:rPr>
                <w:rFonts w:hint="eastAsia" w:ascii="宋体" w:hAnsi="宋体" w:eastAsia="宋体" w:cs="宋体"/>
                <w:sz w:val="24"/>
                <w:szCs w:val="24"/>
                <w:highlight w:val="none"/>
              </w:rPr>
            </w:pPr>
          </w:p>
        </w:tc>
        <w:tc>
          <w:tcPr>
            <w:tcW w:w="224" w:type="pct"/>
            <w:vMerge w:val="continue"/>
            <w:noWrap/>
            <w:vAlign w:val="center"/>
          </w:tcPr>
          <w:p w14:paraId="3D23D69F">
            <w:pPr>
              <w:rPr>
                <w:rFonts w:hint="eastAsia" w:ascii="宋体" w:hAnsi="宋体" w:eastAsia="宋体" w:cs="宋体"/>
                <w:sz w:val="24"/>
                <w:szCs w:val="24"/>
                <w:highlight w:val="none"/>
              </w:rPr>
            </w:pPr>
          </w:p>
        </w:tc>
      </w:tr>
      <w:tr w14:paraId="7F89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74" w:type="pct"/>
            <w:vMerge w:val="continue"/>
            <w:shd w:val="clear" w:color="auto" w:fill="auto"/>
            <w:noWrap/>
            <w:vAlign w:val="center"/>
          </w:tcPr>
          <w:p w14:paraId="2DE81A55">
            <w:pPr>
              <w:rPr>
                <w:rFonts w:hint="eastAsia" w:ascii="宋体" w:hAnsi="宋体" w:eastAsia="宋体" w:cs="宋体"/>
                <w:sz w:val="24"/>
                <w:szCs w:val="24"/>
                <w:highlight w:val="none"/>
              </w:rPr>
            </w:pPr>
          </w:p>
        </w:tc>
        <w:tc>
          <w:tcPr>
            <w:tcW w:w="477" w:type="pct"/>
            <w:vMerge w:val="restart"/>
            <w:shd w:val="clear" w:color="auto" w:fill="auto"/>
            <w:noWrap/>
            <w:vAlign w:val="center"/>
          </w:tcPr>
          <w:p w14:paraId="227BA5DA">
            <w:pPr>
              <w:rPr>
                <w:rFonts w:hint="eastAsia" w:ascii="宋体" w:hAnsi="宋体" w:eastAsia="宋体" w:cs="宋体"/>
                <w:sz w:val="24"/>
                <w:szCs w:val="24"/>
                <w:highlight w:val="none"/>
              </w:rPr>
            </w:pPr>
            <w:r>
              <w:rPr>
                <w:rFonts w:hint="eastAsia" w:ascii="宋体" w:hAnsi="宋体" w:eastAsia="宋体" w:cs="宋体"/>
                <w:sz w:val="24"/>
                <w:szCs w:val="24"/>
                <w:highlight w:val="none"/>
              </w:rPr>
              <w:t>操作规范</w:t>
            </w:r>
          </w:p>
        </w:tc>
        <w:tc>
          <w:tcPr>
            <w:tcW w:w="3546" w:type="pct"/>
            <w:shd w:val="clear" w:color="auto" w:fill="auto"/>
            <w:noWrap/>
          </w:tcPr>
          <w:p w14:paraId="00E9BCE0">
            <w:pPr>
              <w:rPr>
                <w:rFonts w:hint="eastAsia" w:ascii="宋体" w:hAnsi="宋体" w:eastAsia="宋体" w:cs="宋体"/>
                <w:sz w:val="24"/>
                <w:szCs w:val="24"/>
                <w:highlight w:val="none"/>
              </w:rPr>
            </w:pPr>
            <w:r>
              <w:rPr>
                <w:rFonts w:hint="eastAsia" w:ascii="宋体" w:hAnsi="宋体" w:eastAsia="宋体" w:cs="宋体"/>
                <w:sz w:val="24"/>
                <w:szCs w:val="24"/>
                <w:highlight w:val="none"/>
              </w:rPr>
              <w:t>1.所有食材应处理干净，除去杂物，不得留有异物，如蔬菜应除去泥沙与虫子、海鲜类除去沙子、家禽类去除内脏等工序，如猪皮、猪脚、鸡、鸭、鹅等不得有残毛；鱼类不得有残鳞等。</w:t>
            </w:r>
          </w:p>
        </w:tc>
        <w:tc>
          <w:tcPr>
            <w:tcW w:w="276" w:type="pct"/>
            <w:vMerge w:val="restart"/>
            <w:shd w:val="clear" w:color="auto" w:fill="auto"/>
            <w:noWrap/>
            <w:vAlign w:val="center"/>
          </w:tcPr>
          <w:p w14:paraId="2267E16B">
            <w:pP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24" w:type="pct"/>
            <w:vMerge w:val="restart"/>
            <w:shd w:val="clear" w:color="auto" w:fill="auto"/>
            <w:noWrap/>
          </w:tcPr>
          <w:p w14:paraId="752F811B">
            <w:pPr>
              <w:rPr>
                <w:rFonts w:hint="eastAsia" w:ascii="宋体" w:hAnsi="宋体" w:eastAsia="宋体" w:cs="宋体"/>
                <w:sz w:val="24"/>
                <w:szCs w:val="24"/>
                <w:highlight w:val="none"/>
              </w:rPr>
            </w:pPr>
          </w:p>
        </w:tc>
      </w:tr>
      <w:tr w14:paraId="396F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74" w:type="pct"/>
            <w:vMerge w:val="continue"/>
            <w:shd w:val="clear" w:color="auto" w:fill="auto"/>
            <w:noWrap/>
            <w:vAlign w:val="center"/>
          </w:tcPr>
          <w:p w14:paraId="0DF37645">
            <w:pPr>
              <w:rPr>
                <w:rFonts w:hint="eastAsia" w:ascii="宋体" w:hAnsi="宋体" w:eastAsia="宋体" w:cs="宋体"/>
                <w:sz w:val="24"/>
                <w:szCs w:val="24"/>
                <w:highlight w:val="none"/>
              </w:rPr>
            </w:pPr>
          </w:p>
        </w:tc>
        <w:tc>
          <w:tcPr>
            <w:tcW w:w="477" w:type="pct"/>
            <w:vMerge w:val="continue"/>
            <w:shd w:val="clear" w:color="auto" w:fill="auto"/>
            <w:noWrap/>
            <w:vAlign w:val="center"/>
          </w:tcPr>
          <w:p w14:paraId="01193A5D">
            <w:pPr>
              <w:rPr>
                <w:rFonts w:hint="eastAsia" w:ascii="宋体" w:hAnsi="宋体" w:eastAsia="宋体" w:cs="宋体"/>
                <w:sz w:val="24"/>
                <w:szCs w:val="24"/>
                <w:highlight w:val="none"/>
              </w:rPr>
            </w:pPr>
          </w:p>
        </w:tc>
        <w:tc>
          <w:tcPr>
            <w:tcW w:w="3546" w:type="pct"/>
            <w:shd w:val="clear" w:color="auto" w:fill="auto"/>
            <w:noWrap/>
          </w:tcPr>
          <w:p w14:paraId="3B63AB65">
            <w:pPr>
              <w:rPr>
                <w:rFonts w:hint="eastAsia" w:ascii="宋体" w:hAnsi="宋体" w:eastAsia="宋体" w:cs="宋体"/>
                <w:sz w:val="24"/>
                <w:szCs w:val="24"/>
                <w:highlight w:val="none"/>
              </w:rPr>
            </w:pPr>
            <w:r>
              <w:rPr>
                <w:rFonts w:hint="eastAsia" w:ascii="宋体" w:hAnsi="宋体" w:eastAsia="宋体" w:cs="宋体"/>
                <w:sz w:val="24"/>
                <w:szCs w:val="24"/>
                <w:highlight w:val="none"/>
              </w:rPr>
              <w:t>2.蔬菜需要进行去皮处理，例如：莲藕、土豆、萝卜、冬瓜（煲汤例外）；需切配的食材，应按菜式所需切配，切配大小均匀、长短均一。</w:t>
            </w:r>
          </w:p>
        </w:tc>
        <w:tc>
          <w:tcPr>
            <w:tcW w:w="276" w:type="pct"/>
            <w:vMerge w:val="continue"/>
            <w:noWrap/>
            <w:vAlign w:val="center"/>
          </w:tcPr>
          <w:p w14:paraId="08B3AC9A">
            <w:pPr>
              <w:rPr>
                <w:rFonts w:hint="eastAsia" w:ascii="宋体" w:hAnsi="宋体" w:eastAsia="宋体" w:cs="宋体"/>
                <w:sz w:val="24"/>
                <w:szCs w:val="24"/>
                <w:highlight w:val="none"/>
              </w:rPr>
            </w:pPr>
          </w:p>
        </w:tc>
        <w:tc>
          <w:tcPr>
            <w:tcW w:w="224" w:type="pct"/>
            <w:vMerge w:val="continue"/>
            <w:noWrap/>
            <w:vAlign w:val="center"/>
          </w:tcPr>
          <w:p w14:paraId="4CB80398">
            <w:pPr>
              <w:rPr>
                <w:rFonts w:hint="eastAsia" w:ascii="宋体" w:hAnsi="宋体" w:eastAsia="宋体" w:cs="宋体"/>
                <w:sz w:val="24"/>
                <w:szCs w:val="24"/>
                <w:highlight w:val="none"/>
              </w:rPr>
            </w:pPr>
          </w:p>
        </w:tc>
      </w:tr>
      <w:tr w14:paraId="5384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3A6D3A19">
            <w:pPr>
              <w:rPr>
                <w:rFonts w:hint="eastAsia" w:ascii="宋体" w:hAnsi="宋体" w:eastAsia="宋体" w:cs="宋体"/>
                <w:sz w:val="24"/>
                <w:szCs w:val="24"/>
                <w:highlight w:val="none"/>
              </w:rPr>
            </w:pPr>
          </w:p>
        </w:tc>
        <w:tc>
          <w:tcPr>
            <w:tcW w:w="477" w:type="pct"/>
            <w:vMerge w:val="continue"/>
            <w:shd w:val="clear" w:color="auto" w:fill="auto"/>
            <w:noWrap/>
            <w:vAlign w:val="center"/>
          </w:tcPr>
          <w:p w14:paraId="4BF774F4">
            <w:pPr>
              <w:rPr>
                <w:rFonts w:hint="eastAsia" w:ascii="宋体" w:hAnsi="宋体" w:eastAsia="宋体" w:cs="宋体"/>
                <w:sz w:val="24"/>
                <w:szCs w:val="24"/>
                <w:highlight w:val="none"/>
              </w:rPr>
            </w:pPr>
          </w:p>
        </w:tc>
        <w:tc>
          <w:tcPr>
            <w:tcW w:w="3546" w:type="pct"/>
            <w:shd w:val="clear" w:color="auto" w:fill="auto"/>
            <w:noWrap/>
          </w:tcPr>
          <w:p w14:paraId="3A31C08D">
            <w:pPr>
              <w:rPr>
                <w:rFonts w:hint="eastAsia" w:ascii="宋体" w:hAnsi="宋体" w:eastAsia="宋体" w:cs="宋体"/>
                <w:sz w:val="24"/>
                <w:szCs w:val="24"/>
                <w:highlight w:val="none"/>
              </w:rPr>
            </w:pPr>
            <w:r>
              <w:rPr>
                <w:rFonts w:hint="eastAsia" w:ascii="宋体" w:hAnsi="宋体" w:eastAsia="宋体" w:cs="宋体"/>
                <w:sz w:val="24"/>
                <w:szCs w:val="24"/>
                <w:highlight w:val="none"/>
              </w:rPr>
              <w:t>3.加工过程、方法应符合加工规范（加工标准、存储温度等）。</w:t>
            </w:r>
          </w:p>
        </w:tc>
        <w:tc>
          <w:tcPr>
            <w:tcW w:w="276" w:type="pct"/>
            <w:vMerge w:val="continue"/>
            <w:noWrap/>
            <w:vAlign w:val="center"/>
          </w:tcPr>
          <w:p w14:paraId="79939FBC">
            <w:pPr>
              <w:rPr>
                <w:rFonts w:hint="eastAsia" w:ascii="宋体" w:hAnsi="宋体" w:eastAsia="宋体" w:cs="宋体"/>
                <w:sz w:val="24"/>
                <w:szCs w:val="24"/>
                <w:highlight w:val="none"/>
              </w:rPr>
            </w:pPr>
          </w:p>
        </w:tc>
        <w:tc>
          <w:tcPr>
            <w:tcW w:w="224" w:type="pct"/>
            <w:vMerge w:val="continue"/>
            <w:noWrap/>
            <w:vAlign w:val="center"/>
          </w:tcPr>
          <w:p w14:paraId="22AB876A">
            <w:pPr>
              <w:rPr>
                <w:rFonts w:hint="eastAsia" w:ascii="宋体" w:hAnsi="宋体" w:eastAsia="宋体" w:cs="宋体"/>
                <w:sz w:val="24"/>
                <w:szCs w:val="24"/>
                <w:highlight w:val="none"/>
              </w:rPr>
            </w:pPr>
          </w:p>
        </w:tc>
      </w:tr>
      <w:tr w14:paraId="0FA9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0C8339F3">
            <w:pPr>
              <w:rPr>
                <w:rFonts w:hint="eastAsia" w:ascii="宋体" w:hAnsi="宋体" w:eastAsia="宋体" w:cs="宋体"/>
                <w:sz w:val="24"/>
                <w:szCs w:val="24"/>
                <w:highlight w:val="none"/>
              </w:rPr>
            </w:pPr>
          </w:p>
        </w:tc>
        <w:tc>
          <w:tcPr>
            <w:tcW w:w="477" w:type="pct"/>
            <w:vMerge w:val="continue"/>
            <w:shd w:val="clear" w:color="auto" w:fill="auto"/>
            <w:noWrap/>
            <w:vAlign w:val="center"/>
          </w:tcPr>
          <w:p w14:paraId="7D44BF1C">
            <w:pPr>
              <w:rPr>
                <w:rFonts w:hint="eastAsia" w:ascii="宋体" w:hAnsi="宋体" w:eastAsia="宋体" w:cs="宋体"/>
                <w:sz w:val="24"/>
                <w:szCs w:val="24"/>
                <w:highlight w:val="none"/>
              </w:rPr>
            </w:pPr>
          </w:p>
        </w:tc>
        <w:tc>
          <w:tcPr>
            <w:tcW w:w="3546" w:type="pct"/>
            <w:shd w:val="clear" w:color="auto" w:fill="auto"/>
            <w:noWrap/>
          </w:tcPr>
          <w:p w14:paraId="46DD6985">
            <w:pPr>
              <w:rPr>
                <w:rFonts w:hint="eastAsia" w:ascii="宋体" w:hAnsi="宋体" w:eastAsia="宋体" w:cs="宋体"/>
                <w:sz w:val="24"/>
                <w:szCs w:val="24"/>
                <w:highlight w:val="none"/>
              </w:rPr>
            </w:pPr>
            <w:r>
              <w:rPr>
                <w:rFonts w:hint="eastAsia" w:ascii="宋体" w:hAnsi="宋体" w:eastAsia="宋体" w:cs="宋体"/>
                <w:sz w:val="24"/>
                <w:szCs w:val="24"/>
                <w:highlight w:val="none"/>
              </w:rPr>
              <w:t>4.正确解冻，解冻温度、时间、方法应符合要求（不允许二次解冻/冷冻）。</w:t>
            </w:r>
          </w:p>
        </w:tc>
        <w:tc>
          <w:tcPr>
            <w:tcW w:w="276" w:type="pct"/>
            <w:vMerge w:val="continue"/>
            <w:noWrap/>
            <w:vAlign w:val="center"/>
          </w:tcPr>
          <w:p w14:paraId="3C806009">
            <w:pPr>
              <w:rPr>
                <w:rFonts w:hint="eastAsia" w:ascii="宋体" w:hAnsi="宋体" w:eastAsia="宋体" w:cs="宋体"/>
                <w:sz w:val="24"/>
                <w:szCs w:val="24"/>
                <w:highlight w:val="none"/>
              </w:rPr>
            </w:pPr>
          </w:p>
        </w:tc>
        <w:tc>
          <w:tcPr>
            <w:tcW w:w="224" w:type="pct"/>
            <w:vMerge w:val="continue"/>
            <w:noWrap/>
            <w:vAlign w:val="center"/>
          </w:tcPr>
          <w:p w14:paraId="438A7C28">
            <w:pPr>
              <w:rPr>
                <w:rFonts w:hint="eastAsia" w:ascii="宋体" w:hAnsi="宋体" w:eastAsia="宋体" w:cs="宋体"/>
                <w:sz w:val="24"/>
                <w:szCs w:val="24"/>
                <w:highlight w:val="none"/>
              </w:rPr>
            </w:pPr>
          </w:p>
        </w:tc>
      </w:tr>
      <w:tr w14:paraId="3DD6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74" w:type="pct"/>
            <w:vMerge w:val="continue"/>
            <w:shd w:val="clear" w:color="auto" w:fill="auto"/>
            <w:noWrap/>
            <w:vAlign w:val="center"/>
          </w:tcPr>
          <w:p w14:paraId="17DC7AE4">
            <w:pPr>
              <w:rPr>
                <w:rFonts w:hint="eastAsia" w:ascii="宋体" w:hAnsi="宋体" w:eastAsia="宋体" w:cs="宋体"/>
                <w:sz w:val="24"/>
                <w:szCs w:val="24"/>
                <w:highlight w:val="none"/>
              </w:rPr>
            </w:pPr>
          </w:p>
        </w:tc>
        <w:tc>
          <w:tcPr>
            <w:tcW w:w="477" w:type="pct"/>
            <w:vMerge w:val="continue"/>
            <w:shd w:val="clear" w:color="auto" w:fill="auto"/>
            <w:noWrap/>
            <w:vAlign w:val="center"/>
          </w:tcPr>
          <w:p w14:paraId="566E30AF">
            <w:pPr>
              <w:rPr>
                <w:rFonts w:hint="eastAsia" w:ascii="宋体" w:hAnsi="宋体" w:eastAsia="宋体" w:cs="宋体"/>
                <w:sz w:val="24"/>
                <w:szCs w:val="24"/>
                <w:highlight w:val="none"/>
              </w:rPr>
            </w:pPr>
          </w:p>
        </w:tc>
        <w:tc>
          <w:tcPr>
            <w:tcW w:w="3546" w:type="pct"/>
            <w:shd w:val="clear" w:color="auto" w:fill="auto"/>
            <w:noWrap/>
          </w:tcPr>
          <w:p w14:paraId="50B99622">
            <w:pPr>
              <w:rPr>
                <w:rFonts w:hint="eastAsia" w:ascii="宋体" w:hAnsi="宋体" w:eastAsia="宋体" w:cs="宋体"/>
                <w:sz w:val="24"/>
                <w:szCs w:val="24"/>
                <w:highlight w:val="none"/>
              </w:rPr>
            </w:pPr>
            <w:r>
              <w:rPr>
                <w:rFonts w:hint="eastAsia" w:ascii="宋体" w:hAnsi="宋体" w:eastAsia="宋体" w:cs="宋体"/>
                <w:sz w:val="24"/>
                <w:szCs w:val="24"/>
                <w:highlight w:val="none"/>
              </w:rPr>
              <w:t>5.食材应在指定区域加工及存放，加工区独立，成品和待加工原料分开存放，食材、原料、半成品离地隔墙存放。原辅料应分类存放，生熟分开，散装鸡蛋与其他原辅料分开存放。</w:t>
            </w:r>
          </w:p>
        </w:tc>
        <w:tc>
          <w:tcPr>
            <w:tcW w:w="276" w:type="pct"/>
            <w:vMerge w:val="continue"/>
            <w:noWrap/>
            <w:vAlign w:val="center"/>
          </w:tcPr>
          <w:p w14:paraId="5AFD3CF2">
            <w:pPr>
              <w:rPr>
                <w:rFonts w:hint="eastAsia" w:ascii="宋体" w:hAnsi="宋体" w:eastAsia="宋体" w:cs="宋体"/>
                <w:sz w:val="24"/>
                <w:szCs w:val="24"/>
                <w:highlight w:val="none"/>
              </w:rPr>
            </w:pPr>
          </w:p>
        </w:tc>
        <w:tc>
          <w:tcPr>
            <w:tcW w:w="224" w:type="pct"/>
            <w:vMerge w:val="continue"/>
            <w:noWrap/>
            <w:vAlign w:val="center"/>
          </w:tcPr>
          <w:p w14:paraId="600AA5F0">
            <w:pPr>
              <w:rPr>
                <w:rFonts w:hint="eastAsia" w:ascii="宋体" w:hAnsi="宋体" w:eastAsia="宋体" w:cs="宋体"/>
                <w:sz w:val="24"/>
                <w:szCs w:val="24"/>
                <w:highlight w:val="none"/>
              </w:rPr>
            </w:pPr>
          </w:p>
        </w:tc>
      </w:tr>
      <w:tr w14:paraId="3E4D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614DD8AB">
            <w:pPr>
              <w:rPr>
                <w:rFonts w:hint="eastAsia" w:ascii="宋体" w:hAnsi="宋体" w:eastAsia="宋体" w:cs="宋体"/>
                <w:sz w:val="24"/>
                <w:szCs w:val="24"/>
                <w:highlight w:val="none"/>
              </w:rPr>
            </w:pPr>
          </w:p>
        </w:tc>
        <w:tc>
          <w:tcPr>
            <w:tcW w:w="477" w:type="pct"/>
            <w:vMerge w:val="continue"/>
            <w:shd w:val="clear" w:color="auto" w:fill="auto"/>
            <w:noWrap/>
            <w:vAlign w:val="center"/>
          </w:tcPr>
          <w:p w14:paraId="73D15D81">
            <w:pPr>
              <w:rPr>
                <w:rFonts w:hint="eastAsia" w:ascii="宋体" w:hAnsi="宋体" w:eastAsia="宋体" w:cs="宋体"/>
                <w:sz w:val="24"/>
                <w:szCs w:val="24"/>
                <w:highlight w:val="none"/>
              </w:rPr>
            </w:pPr>
          </w:p>
        </w:tc>
        <w:tc>
          <w:tcPr>
            <w:tcW w:w="3546" w:type="pct"/>
            <w:shd w:val="clear" w:color="auto" w:fill="auto"/>
            <w:noWrap/>
          </w:tcPr>
          <w:p w14:paraId="2C632AC6">
            <w:pPr>
              <w:rPr>
                <w:rFonts w:hint="eastAsia" w:ascii="宋体" w:hAnsi="宋体" w:eastAsia="宋体" w:cs="宋体"/>
                <w:sz w:val="24"/>
                <w:szCs w:val="24"/>
                <w:highlight w:val="none"/>
              </w:rPr>
            </w:pPr>
            <w:r>
              <w:rPr>
                <w:rFonts w:hint="eastAsia" w:ascii="宋体" w:hAnsi="宋体" w:eastAsia="宋体" w:cs="宋体"/>
                <w:sz w:val="24"/>
                <w:szCs w:val="24"/>
                <w:highlight w:val="none"/>
              </w:rPr>
              <w:t>6.食品盛器需明确区分（颜色、标识等），避免交叉污染，运输工具应保持清洁，防止食品在运输过程中交叉污染。</w:t>
            </w:r>
          </w:p>
        </w:tc>
        <w:tc>
          <w:tcPr>
            <w:tcW w:w="276" w:type="pct"/>
            <w:vMerge w:val="continue"/>
            <w:noWrap/>
            <w:vAlign w:val="center"/>
          </w:tcPr>
          <w:p w14:paraId="1733A5C7">
            <w:pPr>
              <w:rPr>
                <w:rFonts w:hint="eastAsia" w:ascii="宋体" w:hAnsi="宋体" w:eastAsia="宋体" w:cs="宋体"/>
                <w:sz w:val="24"/>
                <w:szCs w:val="24"/>
                <w:highlight w:val="none"/>
              </w:rPr>
            </w:pPr>
          </w:p>
        </w:tc>
        <w:tc>
          <w:tcPr>
            <w:tcW w:w="224" w:type="pct"/>
            <w:vMerge w:val="continue"/>
            <w:noWrap/>
            <w:vAlign w:val="center"/>
          </w:tcPr>
          <w:p w14:paraId="67F0D76A">
            <w:pPr>
              <w:rPr>
                <w:rFonts w:hint="eastAsia" w:ascii="宋体" w:hAnsi="宋体" w:eastAsia="宋体" w:cs="宋体"/>
                <w:sz w:val="24"/>
                <w:szCs w:val="24"/>
                <w:highlight w:val="none"/>
              </w:rPr>
            </w:pPr>
          </w:p>
        </w:tc>
      </w:tr>
      <w:tr w14:paraId="5EEA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74" w:type="pct"/>
            <w:vMerge w:val="continue"/>
            <w:shd w:val="clear" w:color="auto" w:fill="auto"/>
            <w:noWrap/>
            <w:vAlign w:val="center"/>
          </w:tcPr>
          <w:p w14:paraId="6C2D0D9B">
            <w:pPr>
              <w:rPr>
                <w:rFonts w:hint="eastAsia" w:ascii="宋体" w:hAnsi="宋体" w:eastAsia="宋体" w:cs="宋体"/>
                <w:sz w:val="24"/>
                <w:szCs w:val="24"/>
                <w:highlight w:val="none"/>
              </w:rPr>
            </w:pPr>
          </w:p>
        </w:tc>
        <w:tc>
          <w:tcPr>
            <w:tcW w:w="477" w:type="pct"/>
            <w:vMerge w:val="continue"/>
            <w:shd w:val="clear" w:color="auto" w:fill="auto"/>
            <w:noWrap/>
            <w:vAlign w:val="center"/>
          </w:tcPr>
          <w:p w14:paraId="4BF933A2">
            <w:pPr>
              <w:rPr>
                <w:rFonts w:hint="eastAsia" w:ascii="宋体" w:hAnsi="宋体" w:eastAsia="宋体" w:cs="宋体"/>
                <w:sz w:val="24"/>
                <w:szCs w:val="24"/>
                <w:highlight w:val="none"/>
              </w:rPr>
            </w:pPr>
          </w:p>
        </w:tc>
        <w:tc>
          <w:tcPr>
            <w:tcW w:w="3546" w:type="pct"/>
            <w:shd w:val="clear" w:color="auto" w:fill="auto"/>
            <w:noWrap/>
          </w:tcPr>
          <w:p w14:paraId="13F34ADF">
            <w:pPr>
              <w:rPr>
                <w:rFonts w:hint="eastAsia" w:ascii="宋体" w:hAnsi="宋体" w:eastAsia="宋体" w:cs="宋体"/>
                <w:sz w:val="24"/>
                <w:szCs w:val="24"/>
                <w:highlight w:val="none"/>
              </w:rPr>
            </w:pPr>
            <w:r>
              <w:rPr>
                <w:rFonts w:hint="eastAsia" w:ascii="宋体" w:hAnsi="宋体" w:eastAsia="宋体" w:cs="宋体"/>
                <w:sz w:val="24"/>
                <w:szCs w:val="24"/>
                <w:highlight w:val="none"/>
              </w:rPr>
              <w:t>7.餐厅员工在餐厅内从事任何与经营无关的活动，如就餐时间内吸烟、擅自前往办公区、工作期间前往洗手间未摘掉帽子口罩、脱掉围裙等。</w:t>
            </w:r>
          </w:p>
        </w:tc>
        <w:tc>
          <w:tcPr>
            <w:tcW w:w="276" w:type="pct"/>
            <w:vMerge w:val="continue"/>
            <w:noWrap/>
            <w:vAlign w:val="center"/>
          </w:tcPr>
          <w:p w14:paraId="6E762D00">
            <w:pPr>
              <w:rPr>
                <w:rFonts w:hint="eastAsia" w:ascii="宋体" w:hAnsi="宋体" w:eastAsia="宋体" w:cs="宋体"/>
                <w:sz w:val="24"/>
                <w:szCs w:val="24"/>
                <w:highlight w:val="none"/>
              </w:rPr>
            </w:pPr>
          </w:p>
        </w:tc>
        <w:tc>
          <w:tcPr>
            <w:tcW w:w="224" w:type="pct"/>
            <w:vMerge w:val="continue"/>
            <w:noWrap/>
            <w:vAlign w:val="center"/>
          </w:tcPr>
          <w:p w14:paraId="2CCDCAC1">
            <w:pPr>
              <w:rPr>
                <w:rFonts w:hint="eastAsia" w:ascii="宋体" w:hAnsi="宋体" w:eastAsia="宋体" w:cs="宋体"/>
                <w:sz w:val="24"/>
                <w:szCs w:val="24"/>
                <w:highlight w:val="none"/>
              </w:rPr>
            </w:pPr>
          </w:p>
        </w:tc>
      </w:tr>
      <w:tr w14:paraId="54F4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123E2CB4">
            <w:pPr>
              <w:rPr>
                <w:rFonts w:hint="eastAsia" w:ascii="宋体" w:hAnsi="宋体" w:eastAsia="宋体" w:cs="宋体"/>
                <w:sz w:val="24"/>
                <w:szCs w:val="24"/>
                <w:highlight w:val="none"/>
              </w:rPr>
            </w:pPr>
          </w:p>
        </w:tc>
        <w:tc>
          <w:tcPr>
            <w:tcW w:w="477" w:type="pct"/>
            <w:vMerge w:val="continue"/>
            <w:shd w:val="clear" w:color="auto" w:fill="auto"/>
            <w:noWrap/>
            <w:vAlign w:val="center"/>
          </w:tcPr>
          <w:p w14:paraId="734B1F02">
            <w:pPr>
              <w:rPr>
                <w:rFonts w:hint="eastAsia" w:ascii="宋体" w:hAnsi="宋体" w:eastAsia="宋体" w:cs="宋体"/>
                <w:sz w:val="24"/>
                <w:szCs w:val="24"/>
                <w:highlight w:val="none"/>
              </w:rPr>
            </w:pPr>
          </w:p>
        </w:tc>
        <w:tc>
          <w:tcPr>
            <w:tcW w:w="3546" w:type="pct"/>
            <w:shd w:val="clear" w:color="auto" w:fill="auto"/>
            <w:noWrap/>
          </w:tcPr>
          <w:p w14:paraId="734BB429">
            <w:pPr>
              <w:rPr>
                <w:rFonts w:hint="eastAsia" w:ascii="宋体" w:hAnsi="宋体" w:eastAsia="宋体" w:cs="宋体"/>
                <w:sz w:val="24"/>
                <w:szCs w:val="24"/>
                <w:highlight w:val="none"/>
              </w:rPr>
            </w:pPr>
            <w:r>
              <w:rPr>
                <w:rFonts w:hint="eastAsia" w:ascii="宋体" w:hAnsi="宋体" w:eastAsia="宋体" w:cs="宋体"/>
                <w:sz w:val="24"/>
                <w:szCs w:val="24"/>
                <w:highlight w:val="none"/>
              </w:rPr>
              <w:t>8.按照要求规范使用专用抹布，不得使用钢丝球。</w:t>
            </w:r>
          </w:p>
        </w:tc>
        <w:tc>
          <w:tcPr>
            <w:tcW w:w="276" w:type="pct"/>
            <w:vMerge w:val="continue"/>
            <w:noWrap/>
            <w:vAlign w:val="center"/>
          </w:tcPr>
          <w:p w14:paraId="2E203AED">
            <w:pPr>
              <w:rPr>
                <w:rFonts w:hint="eastAsia" w:ascii="宋体" w:hAnsi="宋体" w:eastAsia="宋体" w:cs="宋体"/>
                <w:sz w:val="24"/>
                <w:szCs w:val="24"/>
                <w:highlight w:val="none"/>
              </w:rPr>
            </w:pPr>
          </w:p>
        </w:tc>
        <w:tc>
          <w:tcPr>
            <w:tcW w:w="224" w:type="pct"/>
            <w:vMerge w:val="continue"/>
            <w:noWrap/>
            <w:vAlign w:val="center"/>
          </w:tcPr>
          <w:p w14:paraId="4ECE9132">
            <w:pPr>
              <w:rPr>
                <w:rFonts w:hint="eastAsia" w:ascii="宋体" w:hAnsi="宋体" w:eastAsia="宋体" w:cs="宋体"/>
                <w:sz w:val="24"/>
                <w:szCs w:val="24"/>
                <w:highlight w:val="none"/>
              </w:rPr>
            </w:pPr>
          </w:p>
        </w:tc>
      </w:tr>
      <w:tr w14:paraId="3318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5D0DD8E1">
            <w:pPr>
              <w:rPr>
                <w:rFonts w:hint="eastAsia" w:ascii="宋体" w:hAnsi="宋体" w:eastAsia="宋体" w:cs="宋体"/>
                <w:sz w:val="24"/>
                <w:szCs w:val="24"/>
                <w:highlight w:val="none"/>
              </w:rPr>
            </w:pPr>
          </w:p>
        </w:tc>
        <w:tc>
          <w:tcPr>
            <w:tcW w:w="477" w:type="pct"/>
            <w:vMerge w:val="continue"/>
            <w:shd w:val="clear" w:color="auto" w:fill="auto"/>
            <w:noWrap/>
            <w:vAlign w:val="center"/>
          </w:tcPr>
          <w:p w14:paraId="7E84A991">
            <w:pPr>
              <w:rPr>
                <w:rFonts w:hint="eastAsia" w:ascii="宋体" w:hAnsi="宋体" w:eastAsia="宋体" w:cs="宋体"/>
                <w:sz w:val="24"/>
                <w:szCs w:val="24"/>
                <w:highlight w:val="none"/>
              </w:rPr>
            </w:pPr>
          </w:p>
        </w:tc>
        <w:tc>
          <w:tcPr>
            <w:tcW w:w="3546" w:type="pct"/>
            <w:shd w:val="clear" w:color="auto" w:fill="auto"/>
            <w:noWrap/>
          </w:tcPr>
          <w:p w14:paraId="2779E0D2">
            <w:pPr>
              <w:rPr>
                <w:rFonts w:hint="eastAsia" w:ascii="宋体" w:hAnsi="宋体" w:eastAsia="宋体" w:cs="宋体"/>
                <w:sz w:val="24"/>
                <w:szCs w:val="24"/>
                <w:highlight w:val="none"/>
              </w:rPr>
            </w:pPr>
            <w:r>
              <w:rPr>
                <w:rFonts w:hint="eastAsia" w:ascii="宋体" w:hAnsi="宋体" w:eastAsia="宋体" w:cs="宋体"/>
                <w:sz w:val="24"/>
                <w:szCs w:val="24"/>
                <w:highlight w:val="none"/>
              </w:rPr>
              <w:t>9.应制定餐厅日常管理制度、专用设备操作规程、厨房设备的安全操作指南、紧急事故处理步骤，制度上墙。</w:t>
            </w:r>
          </w:p>
        </w:tc>
        <w:tc>
          <w:tcPr>
            <w:tcW w:w="276" w:type="pct"/>
            <w:vMerge w:val="continue"/>
            <w:noWrap/>
            <w:vAlign w:val="center"/>
          </w:tcPr>
          <w:p w14:paraId="429A5215">
            <w:pPr>
              <w:rPr>
                <w:rFonts w:hint="eastAsia" w:ascii="宋体" w:hAnsi="宋体" w:eastAsia="宋体" w:cs="宋体"/>
                <w:sz w:val="24"/>
                <w:szCs w:val="24"/>
                <w:highlight w:val="none"/>
              </w:rPr>
            </w:pPr>
          </w:p>
        </w:tc>
        <w:tc>
          <w:tcPr>
            <w:tcW w:w="224" w:type="pct"/>
            <w:vMerge w:val="continue"/>
            <w:noWrap/>
            <w:vAlign w:val="center"/>
          </w:tcPr>
          <w:p w14:paraId="261AC6FC">
            <w:pPr>
              <w:rPr>
                <w:rFonts w:hint="eastAsia" w:ascii="宋体" w:hAnsi="宋体" w:eastAsia="宋体" w:cs="宋体"/>
                <w:sz w:val="24"/>
                <w:szCs w:val="24"/>
                <w:highlight w:val="none"/>
              </w:rPr>
            </w:pPr>
          </w:p>
        </w:tc>
      </w:tr>
      <w:tr w14:paraId="6B0B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62F1EF09">
            <w:pPr>
              <w:rPr>
                <w:rFonts w:hint="eastAsia" w:ascii="宋体" w:hAnsi="宋体" w:eastAsia="宋体" w:cs="宋体"/>
                <w:sz w:val="24"/>
                <w:szCs w:val="24"/>
                <w:highlight w:val="none"/>
              </w:rPr>
            </w:pPr>
          </w:p>
        </w:tc>
        <w:tc>
          <w:tcPr>
            <w:tcW w:w="477" w:type="pct"/>
            <w:vMerge w:val="continue"/>
            <w:shd w:val="clear" w:color="auto" w:fill="auto"/>
            <w:noWrap/>
            <w:vAlign w:val="center"/>
          </w:tcPr>
          <w:p w14:paraId="7E21A9D6">
            <w:pPr>
              <w:rPr>
                <w:rFonts w:hint="eastAsia" w:ascii="宋体" w:hAnsi="宋体" w:eastAsia="宋体" w:cs="宋体"/>
                <w:sz w:val="24"/>
                <w:szCs w:val="24"/>
                <w:highlight w:val="none"/>
              </w:rPr>
            </w:pPr>
          </w:p>
        </w:tc>
        <w:tc>
          <w:tcPr>
            <w:tcW w:w="3546" w:type="pct"/>
            <w:shd w:val="clear" w:color="auto" w:fill="auto"/>
            <w:noWrap/>
          </w:tcPr>
          <w:p w14:paraId="55C7B286">
            <w:pPr>
              <w:rPr>
                <w:rFonts w:hint="eastAsia" w:ascii="宋体" w:hAnsi="宋体" w:eastAsia="宋体" w:cs="宋体"/>
                <w:sz w:val="24"/>
                <w:szCs w:val="24"/>
                <w:highlight w:val="none"/>
              </w:rPr>
            </w:pPr>
            <w:r>
              <w:rPr>
                <w:rFonts w:hint="eastAsia" w:ascii="宋体" w:hAnsi="宋体" w:eastAsia="宋体" w:cs="宋体"/>
                <w:sz w:val="24"/>
                <w:szCs w:val="24"/>
                <w:highlight w:val="none"/>
              </w:rPr>
              <w:t>10.设备设施应有使用标识、安全标识应完好，电气设备接头应牢固，各种电器设备在不用时或用完后应切断电源，杜绝安全隐患。</w:t>
            </w:r>
          </w:p>
        </w:tc>
        <w:tc>
          <w:tcPr>
            <w:tcW w:w="276" w:type="pct"/>
            <w:vMerge w:val="continue"/>
            <w:noWrap/>
            <w:vAlign w:val="center"/>
          </w:tcPr>
          <w:p w14:paraId="3B9831D4">
            <w:pPr>
              <w:rPr>
                <w:rFonts w:hint="eastAsia" w:ascii="宋体" w:hAnsi="宋体" w:eastAsia="宋体" w:cs="宋体"/>
                <w:sz w:val="24"/>
                <w:szCs w:val="24"/>
                <w:highlight w:val="none"/>
              </w:rPr>
            </w:pPr>
          </w:p>
        </w:tc>
        <w:tc>
          <w:tcPr>
            <w:tcW w:w="224" w:type="pct"/>
            <w:vMerge w:val="continue"/>
            <w:noWrap/>
            <w:vAlign w:val="center"/>
          </w:tcPr>
          <w:p w14:paraId="72DF9AA6">
            <w:pPr>
              <w:rPr>
                <w:rFonts w:hint="eastAsia" w:ascii="宋体" w:hAnsi="宋体" w:eastAsia="宋体" w:cs="宋体"/>
                <w:sz w:val="24"/>
                <w:szCs w:val="24"/>
                <w:highlight w:val="none"/>
              </w:rPr>
            </w:pPr>
          </w:p>
        </w:tc>
      </w:tr>
      <w:tr w14:paraId="4B49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74" w:type="pct"/>
            <w:vMerge w:val="continue"/>
            <w:shd w:val="clear" w:color="auto" w:fill="auto"/>
            <w:noWrap/>
            <w:vAlign w:val="center"/>
          </w:tcPr>
          <w:p w14:paraId="00242F68">
            <w:pPr>
              <w:rPr>
                <w:rFonts w:hint="eastAsia" w:ascii="宋体" w:hAnsi="宋体" w:eastAsia="宋体" w:cs="宋体"/>
                <w:sz w:val="24"/>
                <w:szCs w:val="24"/>
                <w:highlight w:val="none"/>
              </w:rPr>
            </w:pPr>
          </w:p>
        </w:tc>
        <w:tc>
          <w:tcPr>
            <w:tcW w:w="477" w:type="pct"/>
            <w:vMerge w:val="continue"/>
            <w:shd w:val="clear" w:color="auto" w:fill="auto"/>
            <w:noWrap/>
            <w:vAlign w:val="center"/>
          </w:tcPr>
          <w:p w14:paraId="1A46FF42">
            <w:pPr>
              <w:rPr>
                <w:rFonts w:hint="eastAsia" w:ascii="宋体" w:hAnsi="宋体" w:eastAsia="宋体" w:cs="宋体"/>
                <w:sz w:val="24"/>
                <w:szCs w:val="24"/>
                <w:highlight w:val="none"/>
              </w:rPr>
            </w:pPr>
          </w:p>
        </w:tc>
        <w:tc>
          <w:tcPr>
            <w:tcW w:w="3546" w:type="pct"/>
            <w:shd w:val="clear" w:color="auto" w:fill="auto"/>
            <w:noWrap/>
          </w:tcPr>
          <w:p w14:paraId="0627F1C7">
            <w:pPr>
              <w:rPr>
                <w:rFonts w:hint="eastAsia" w:ascii="宋体" w:hAnsi="宋体" w:eastAsia="宋体" w:cs="宋体"/>
                <w:sz w:val="24"/>
                <w:szCs w:val="24"/>
                <w:highlight w:val="none"/>
              </w:rPr>
            </w:pPr>
            <w:r>
              <w:rPr>
                <w:rFonts w:hint="eastAsia" w:ascii="宋体" w:hAnsi="宋体" w:eastAsia="宋体" w:cs="宋体"/>
                <w:sz w:val="24"/>
                <w:szCs w:val="24"/>
                <w:highlight w:val="none"/>
              </w:rPr>
              <w:t>（发现违反上述规定，每次扣1分）</w:t>
            </w:r>
          </w:p>
        </w:tc>
        <w:tc>
          <w:tcPr>
            <w:tcW w:w="276" w:type="pct"/>
            <w:vMerge w:val="continue"/>
            <w:noWrap/>
            <w:vAlign w:val="center"/>
          </w:tcPr>
          <w:p w14:paraId="425FA8BB">
            <w:pPr>
              <w:rPr>
                <w:rFonts w:hint="eastAsia" w:ascii="宋体" w:hAnsi="宋体" w:eastAsia="宋体" w:cs="宋体"/>
                <w:sz w:val="24"/>
                <w:szCs w:val="24"/>
                <w:highlight w:val="none"/>
              </w:rPr>
            </w:pPr>
          </w:p>
        </w:tc>
        <w:tc>
          <w:tcPr>
            <w:tcW w:w="224" w:type="pct"/>
            <w:vMerge w:val="continue"/>
            <w:noWrap/>
            <w:vAlign w:val="center"/>
          </w:tcPr>
          <w:p w14:paraId="6D518FB5">
            <w:pPr>
              <w:rPr>
                <w:rFonts w:hint="eastAsia" w:ascii="宋体" w:hAnsi="宋体" w:eastAsia="宋体" w:cs="宋体"/>
                <w:sz w:val="24"/>
                <w:szCs w:val="24"/>
                <w:highlight w:val="none"/>
              </w:rPr>
            </w:pPr>
          </w:p>
        </w:tc>
      </w:tr>
      <w:tr w14:paraId="65A9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327643ED">
            <w:pPr>
              <w:rPr>
                <w:rFonts w:hint="eastAsia" w:ascii="宋体" w:hAnsi="宋体" w:eastAsia="宋体" w:cs="宋体"/>
                <w:sz w:val="24"/>
                <w:szCs w:val="24"/>
                <w:highlight w:val="none"/>
              </w:rPr>
            </w:pPr>
          </w:p>
        </w:tc>
        <w:tc>
          <w:tcPr>
            <w:tcW w:w="477" w:type="pct"/>
            <w:vMerge w:val="restart"/>
            <w:shd w:val="clear" w:color="auto" w:fill="auto"/>
            <w:noWrap/>
            <w:vAlign w:val="center"/>
          </w:tcPr>
          <w:p w14:paraId="480C7101">
            <w:pPr>
              <w:rPr>
                <w:rFonts w:hint="eastAsia" w:ascii="宋体" w:hAnsi="宋体" w:eastAsia="宋体" w:cs="宋体"/>
                <w:sz w:val="24"/>
                <w:szCs w:val="24"/>
                <w:highlight w:val="none"/>
              </w:rPr>
            </w:pPr>
            <w:r>
              <w:rPr>
                <w:rFonts w:hint="eastAsia" w:ascii="宋体" w:hAnsi="宋体" w:eastAsia="宋体" w:cs="宋体"/>
                <w:sz w:val="24"/>
                <w:szCs w:val="24"/>
                <w:highlight w:val="none"/>
              </w:rPr>
              <w:t>异物概率</w:t>
            </w:r>
          </w:p>
        </w:tc>
        <w:tc>
          <w:tcPr>
            <w:tcW w:w="3546" w:type="pct"/>
            <w:shd w:val="clear" w:color="auto" w:fill="auto"/>
            <w:noWrap/>
          </w:tcPr>
          <w:p w14:paraId="26198F29">
            <w:pPr>
              <w:rPr>
                <w:rFonts w:hint="eastAsia" w:ascii="宋体" w:hAnsi="宋体" w:eastAsia="宋体" w:cs="宋体"/>
                <w:sz w:val="24"/>
                <w:szCs w:val="24"/>
                <w:highlight w:val="none"/>
              </w:rPr>
            </w:pPr>
            <w:r>
              <w:rPr>
                <w:rFonts w:hint="eastAsia" w:ascii="宋体" w:hAnsi="宋体" w:eastAsia="宋体" w:cs="宋体"/>
                <w:sz w:val="24"/>
                <w:szCs w:val="24"/>
                <w:highlight w:val="none"/>
              </w:rPr>
              <w:t>1.因未清洗干净而出现的异物，例如：毛发、沙粒、果蝇、小菜虫类等，每月低于2次不作扣分处理，超过的部分每次扣1分。</w:t>
            </w:r>
          </w:p>
        </w:tc>
        <w:tc>
          <w:tcPr>
            <w:tcW w:w="276" w:type="pct"/>
            <w:vMerge w:val="restart"/>
            <w:shd w:val="clear" w:color="auto" w:fill="auto"/>
            <w:noWrap/>
            <w:vAlign w:val="center"/>
          </w:tcPr>
          <w:p w14:paraId="4E05A21D">
            <w:pP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24" w:type="pct"/>
            <w:vMerge w:val="restart"/>
            <w:shd w:val="clear" w:color="auto" w:fill="auto"/>
            <w:noWrap/>
          </w:tcPr>
          <w:p w14:paraId="28B280B0">
            <w:pPr>
              <w:rPr>
                <w:rFonts w:hint="eastAsia" w:ascii="宋体" w:hAnsi="宋体" w:eastAsia="宋体" w:cs="宋体"/>
                <w:sz w:val="24"/>
                <w:szCs w:val="24"/>
                <w:highlight w:val="none"/>
              </w:rPr>
            </w:pPr>
          </w:p>
        </w:tc>
      </w:tr>
      <w:tr w14:paraId="5613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74" w:type="pct"/>
            <w:vMerge w:val="continue"/>
            <w:shd w:val="clear" w:color="auto" w:fill="auto"/>
            <w:noWrap/>
            <w:vAlign w:val="center"/>
          </w:tcPr>
          <w:p w14:paraId="1FA00CE1">
            <w:pPr>
              <w:rPr>
                <w:rFonts w:hint="eastAsia" w:ascii="宋体" w:hAnsi="宋体" w:eastAsia="宋体" w:cs="宋体"/>
                <w:sz w:val="24"/>
                <w:szCs w:val="24"/>
                <w:highlight w:val="none"/>
              </w:rPr>
            </w:pPr>
          </w:p>
        </w:tc>
        <w:tc>
          <w:tcPr>
            <w:tcW w:w="477" w:type="pct"/>
            <w:vMerge w:val="continue"/>
            <w:shd w:val="clear" w:color="auto" w:fill="auto"/>
            <w:noWrap/>
            <w:vAlign w:val="center"/>
          </w:tcPr>
          <w:p w14:paraId="691EB5FC">
            <w:pPr>
              <w:rPr>
                <w:rFonts w:hint="eastAsia" w:ascii="宋体" w:hAnsi="宋体" w:eastAsia="宋体" w:cs="宋体"/>
                <w:sz w:val="24"/>
                <w:szCs w:val="24"/>
                <w:highlight w:val="none"/>
              </w:rPr>
            </w:pPr>
          </w:p>
        </w:tc>
        <w:tc>
          <w:tcPr>
            <w:tcW w:w="3546" w:type="pct"/>
            <w:shd w:val="clear" w:color="auto" w:fill="auto"/>
            <w:noWrap/>
          </w:tcPr>
          <w:p w14:paraId="0088DD15">
            <w:pPr>
              <w:rPr>
                <w:rFonts w:hint="eastAsia" w:ascii="宋体" w:hAnsi="宋体" w:eastAsia="宋体" w:cs="宋体"/>
                <w:sz w:val="24"/>
                <w:szCs w:val="24"/>
                <w:highlight w:val="none"/>
              </w:rPr>
            </w:pPr>
            <w:r>
              <w:rPr>
                <w:rFonts w:hint="eastAsia" w:ascii="宋体" w:hAnsi="宋体" w:eastAsia="宋体" w:cs="宋体"/>
                <w:sz w:val="24"/>
                <w:szCs w:val="24"/>
                <w:highlight w:val="none"/>
              </w:rPr>
              <w:t>2.因加工过程中所产生的异物，例如：一次性手套、保鲜膜、标签纸等、指甲、口香糖、创可贴、烟头、玻璃、牙齿、铁丝、亚克力板、等其它类异物，或出现因未处理干净的预包装类异物，例如：皮筋、绳子、包装袋、报纸、泡沫、化肥残留物等，每月低于2次不作扣分处理，超过的部分每次罚1分。</w:t>
            </w:r>
          </w:p>
        </w:tc>
        <w:tc>
          <w:tcPr>
            <w:tcW w:w="276" w:type="pct"/>
            <w:vMerge w:val="continue"/>
            <w:noWrap/>
            <w:vAlign w:val="center"/>
          </w:tcPr>
          <w:p w14:paraId="39D4055A">
            <w:pPr>
              <w:rPr>
                <w:rFonts w:hint="eastAsia" w:ascii="宋体" w:hAnsi="宋体" w:eastAsia="宋体" w:cs="宋体"/>
                <w:sz w:val="24"/>
                <w:szCs w:val="24"/>
                <w:highlight w:val="none"/>
              </w:rPr>
            </w:pPr>
          </w:p>
        </w:tc>
        <w:tc>
          <w:tcPr>
            <w:tcW w:w="224" w:type="pct"/>
            <w:vMerge w:val="continue"/>
            <w:noWrap/>
            <w:vAlign w:val="center"/>
          </w:tcPr>
          <w:p w14:paraId="76F3C12C">
            <w:pPr>
              <w:rPr>
                <w:rFonts w:hint="eastAsia" w:ascii="宋体" w:hAnsi="宋体" w:eastAsia="宋体" w:cs="宋体"/>
                <w:sz w:val="24"/>
                <w:szCs w:val="24"/>
                <w:highlight w:val="none"/>
              </w:rPr>
            </w:pPr>
          </w:p>
        </w:tc>
      </w:tr>
      <w:tr w14:paraId="2DF3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74" w:type="pct"/>
            <w:vMerge w:val="continue"/>
            <w:shd w:val="clear" w:color="auto" w:fill="auto"/>
            <w:noWrap/>
            <w:vAlign w:val="center"/>
          </w:tcPr>
          <w:p w14:paraId="7FE831D2">
            <w:pPr>
              <w:rPr>
                <w:rFonts w:hint="eastAsia" w:ascii="宋体" w:hAnsi="宋体" w:eastAsia="宋体" w:cs="宋体"/>
                <w:sz w:val="24"/>
                <w:szCs w:val="24"/>
                <w:highlight w:val="none"/>
              </w:rPr>
            </w:pPr>
          </w:p>
        </w:tc>
        <w:tc>
          <w:tcPr>
            <w:tcW w:w="477" w:type="pct"/>
            <w:vMerge w:val="continue"/>
            <w:shd w:val="clear" w:color="auto" w:fill="auto"/>
            <w:noWrap/>
            <w:vAlign w:val="center"/>
          </w:tcPr>
          <w:p w14:paraId="3F63BD24">
            <w:pPr>
              <w:rPr>
                <w:rFonts w:hint="eastAsia" w:ascii="宋体" w:hAnsi="宋体" w:eastAsia="宋体" w:cs="宋体"/>
                <w:sz w:val="24"/>
                <w:szCs w:val="24"/>
                <w:highlight w:val="none"/>
              </w:rPr>
            </w:pPr>
          </w:p>
        </w:tc>
        <w:tc>
          <w:tcPr>
            <w:tcW w:w="3546" w:type="pct"/>
            <w:shd w:val="clear" w:color="auto" w:fill="auto"/>
            <w:noWrap/>
          </w:tcPr>
          <w:p w14:paraId="64F57B39">
            <w:pPr>
              <w:rPr>
                <w:rFonts w:hint="eastAsia" w:ascii="宋体" w:hAnsi="宋体" w:eastAsia="宋体" w:cs="宋体"/>
                <w:sz w:val="24"/>
                <w:szCs w:val="24"/>
                <w:highlight w:val="none"/>
              </w:rPr>
            </w:pPr>
            <w:r>
              <w:rPr>
                <w:rFonts w:hint="eastAsia" w:ascii="宋体" w:hAnsi="宋体" w:eastAsia="宋体" w:cs="宋体"/>
                <w:sz w:val="24"/>
                <w:szCs w:val="24"/>
                <w:highlight w:val="none"/>
              </w:rPr>
              <w:t>3.食品中出现蟑螂、老鼠、苍蝇、蚂蚁等恶性异物时，每次扣1分。</w:t>
            </w:r>
          </w:p>
        </w:tc>
        <w:tc>
          <w:tcPr>
            <w:tcW w:w="276" w:type="pct"/>
            <w:vMerge w:val="continue"/>
            <w:noWrap/>
            <w:vAlign w:val="center"/>
          </w:tcPr>
          <w:p w14:paraId="10B00B73">
            <w:pPr>
              <w:rPr>
                <w:rFonts w:hint="eastAsia" w:ascii="宋体" w:hAnsi="宋体" w:eastAsia="宋体" w:cs="宋体"/>
                <w:sz w:val="24"/>
                <w:szCs w:val="24"/>
                <w:highlight w:val="none"/>
              </w:rPr>
            </w:pPr>
          </w:p>
        </w:tc>
        <w:tc>
          <w:tcPr>
            <w:tcW w:w="224" w:type="pct"/>
            <w:vMerge w:val="continue"/>
            <w:noWrap/>
            <w:vAlign w:val="center"/>
          </w:tcPr>
          <w:p w14:paraId="4CD5FAFD">
            <w:pPr>
              <w:rPr>
                <w:rFonts w:hint="eastAsia" w:ascii="宋体" w:hAnsi="宋体" w:eastAsia="宋体" w:cs="宋体"/>
                <w:sz w:val="24"/>
                <w:szCs w:val="24"/>
                <w:highlight w:val="none"/>
              </w:rPr>
            </w:pPr>
          </w:p>
        </w:tc>
      </w:tr>
      <w:tr w14:paraId="4F26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68FDA46E">
            <w:pPr>
              <w:rPr>
                <w:rFonts w:hint="eastAsia" w:ascii="宋体" w:hAnsi="宋体" w:eastAsia="宋体" w:cs="宋体"/>
                <w:sz w:val="24"/>
                <w:szCs w:val="24"/>
                <w:highlight w:val="none"/>
              </w:rPr>
            </w:pPr>
          </w:p>
        </w:tc>
        <w:tc>
          <w:tcPr>
            <w:tcW w:w="477" w:type="pct"/>
            <w:vMerge w:val="restart"/>
            <w:shd w:val="clear" w:color="auto" w:fill="auto"/>
            <w:noWrap/>
            <w:vAlign w:val="center"/>
          </w:tcPr>
          <w:p w14:paraId="6F41E8A7">
            <w:pPr>
              <w:rPr>
                <w:rFonts w:hint="eastAsia" w:ascii="宋体" w:hAnsi="宋体" w:eastAsia="宋体" w:cs="宋体"/>
                <w:sz w:val="24"/>
                <w:szCs w:val="24"/>
                <w:highlight w:val="none"/>
              </w:rPr>
            </w:pPr>
            <w:r>
              <w:rPr>
                <w:rFonts w:hint="eastAsia" w:ascii="宋体" w:hAnsi="宋体" w:eastAsia="宋体" w:cs="宋体"/>
                <w:sz w:val="24"/>
                <w:szCs w:val="24"/>
                <w:highlight w:val="none"/>
              </w:rPr>
              <w:t>环境卫生</w:t>
            </w:r>
          </w:p>
        </w:tc>
        <w:tc>
          <w:tcPr>
            <w:tcW w:w="3546" w:type="pct"/>
            <w:shd w:val="clear" w:color="auto" w:fill="auto"/>
            <w:noWrap/>
          </w:tcPr>
          <w:p w14:paraId="37326110">
            <w:pPr>
              <w:rPr>
                <w:rFonts w:hint="eastAsia" w:ascii="宋体" w:hAnsi="宋体" w:eastAsia="宋体" w:cs="宋体"/>
                <w:sz w:val="24"/>
                <w:szCs w:val="24"/>
                <w:highlight w:val="none"/>
              </w:rPr>
            </w:pPr>
            <w:r>
              <w:rPr>
                <w:rFonts w:hint="eastAsia" w:ascii="宋体" w:hAnsi="宋体" w:eastAsia="宋体" w:cs="宋体"/>
                <w:sz w:val="24"/>
                <w:szCs w:val="24"/>
                <w:highlight w:val="none"/>
              </w:rPr>
              <w:t>1.操作过程中不得将地漏盖移位或残渣堆滞现象，应保持下水道畅通，以防出现下水道堵塞现象。</w:t>
            </w:r>
          </w:p>
        </w:tc>
        <w:tc>
          <w:tcPr>
            <w:tcW w:w="276" w:type="pct"/>
            <w:vMerge w:val="restart"/>
            <w:shd w:val="clear" w:color="auto" w:fill="auto"/>
            <w:noWrap/>
            <w:vAlign w:val="center"/>
          </w:tcPr>
          <w:p w14:paraId="25666D3D">
            <w:pP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24" w:type="pct"/>
            <w:vMerge w:val="restart"/>
            <w:shd w:val="clear" w:color="auto" w:fill="auto"/>
            <w:noWrap/>
          </w:tcPr>
          <w:p w14:paraId="5E1E9471">
            <w:pPr>
              <w:rPr>
                <w:rFonts w:hint="eastAsia" w:ascii="宋体" w:hAnsi="宋体" w:eastAsia="宋体" w:cs="宋体"/>
                <w:sz w:val="24"/>
                <w:szCs w:val="24"/>
                <w:highlight w:val="none"/>
              </w:rPr>
            </w:pPr>
          </w:p>
        </w:tc>
      </w:tr>
      <w:tr w14:paraId="4E4D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648180FF">
            <w:pPr>
              <w:rPr>
                <w:rFonts w:hint="eastAsia" w:ascii="宋体" w:hAnsi="宋体" w:eastAsia="宋体" w:cs="宋体"/>
                <w:sz w:val="24"/>
                <w:szCs w:val="24"/>
                <w:highlight w:val="none"/>
              </w:rPr>
            </w:pPr>
          </w:p>
        </w:tc>
        <w:tc>
          <w:tcPr>
            <w:tcW w:w="477" w:type="pct"/>
            <w:vMerge w:val="continue"/>
            <w:shd w:val="clear" w:color="auto" w:fill="auto"/>
            <w:noWrap/>
            <w:vAlign w:val="center"/>
          </w:tcPr>
          <w:p w14:paraId="7D52DFD4">
            <w:pPr>
              <w:rPr>
                <w:rFonts w:hint="eastAsia" w:ascii="宋体" w:hAnsi="宋体" w:eastAsia="宋体" w:cs="宋体"/>
                <w:sz w:val="24"/>
                <w:szCs w:val="24"/>
                <w:highlight w:val="none"/>
              </w:rPr>
            </w:pPr>
          </w:p>
        </w:tc>
        <w:tc>
          <w:tcPr>
            <w:tcW w:w="3546" w:type="pct"/>
            <w:shd w:val="clear" w:color="auto" w:fill="auto"/>
            <w:noWrap/>
          </w:tcPr>
          <w:p w14:paraId="29356482">
            <w:pPr>
              <w:rPr>
                <w:rFonts w:hint="eastAsia" w:ascii="宋体" w:hAnsi="宋体" w:eastAsia="宋体" w:cs="宋体"/>
                <w:sz w:val="24"/>
                <w:szCs w:val="24"/>
                <w:highlight w:val="none"/>
              </w:rPr>
            </w:pPr>
            <w:r>
              <w:rPr>
                <w:rFonts w:hint="eastAsia" w:ascii="宋体" w:hAnsi="宋体" w:eastAsia="宋体" w:cs="宋体"/>
                <w:sz w:val="24"/>
                <w:szCs w:val="24"/>
                <w:highlight w:val="none"/>
              </w:rPr>
              <w:t>2.应保持环境清洁，整体卫生良好，门、窗户、照明、墙壁、天花板、操作台、刀具、砧板等设备应保持清洁，并符合卫生要求。</w:t>
            </w:r>
          </w:p>
        </w:tc>
        <w:tc>
          <w:tcPr>
            <w:tcW w:w="276" w:type="pct"/>
            <w:vMerge w:val="continue"/>
            <w:noWrap/>
            <w:vAlign w:val="center"/>
          </w:tcPr>
          <w:p w14:paraId="0ACEE6A3">
            <w:pPr>
              <w:rPr>
                <w:rFonts w:hint="eastAsia" w:ascii="宋体" w:hAnsi="宋体" w:eastAsia="宋体" w:cs="宋体"/>
                <w:sz w:val="24"/>
                <w:szCs w:val="24"/>
                <w:highlight w:val="none"/>
              </w:rPr>
            </w:pPr>
          </w:p>
        </w:tc>
        <w:tc>
          <w:tcPr>
            <w:tcW w:w="224" w:type="pct"/>
            <w:vMerge w:val="continue"/>
            <w:noWrap/>
            <w:vAlign w:val="center"/>
          </w:tcPr>
          <w:p w14:paraId="00F54E43">
            <w:pPr>
              <w:rPr>
                <w:rFonts w:hint="eastAsia" w:ascii="宋体" w:hAnsi="宋体" w:eastAsia="宋体" w:cs="宋体"/>
                <w:sz w:val="24"/>
                <w:szCs w:val="24"/>
                <w:highlight w:val="none"/>
              </w:rPr>
            </w:pPr>
          </w:p>
        </w:tc>
      </w:tr>
      <w:tr w14:paraId="1E96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3687B791">
            <w:pPr>
              <w:rPr>
                <w:rFonts w:hint="eastAsia" w:ascii="宋体" w:hAnsi="宋体" w:eastAsia="宋体" w:cs="宋体"/>
                <w:sz w:val="24"/>
                <w:szCs w:val="24"/>
                <w:highlight w:val="none"/>
              </w:rPr>
            </w:pPr>
          </w:p>
        </w:tc>
        <w:tc>
          <w:tcPr>
            <w:tcW w:w="477" w:type="pct"/>
            <w:vMerge w:val="continue"/>
            <w:shd w:val="clear" w:color="auto" w:fill="auto"/>
            <w:noWrap/>
            <w:vAlign w:val="center"/>
          </w:tcPr>
          <w:p w14:paraId="6D716B2F">
            <w:pPr>
              <w:rPr>
                <w:rFonts w:hint="eastAsia" w:ascii="宋体" w:hAnsi="宋体" w:eastAsia="宋体" w:cs="宋体"/>
                <w:sz w:val="24"/>
                <w:szCs w:val="24"/>
                <w:highlight w:val="none"/>
              </w:rPr>
            </w:pPr>
          </w:p>
        </w:tc>
        <w:tc>
          <w:tcPr>
            <w:tcW w:w="3546" w:type="pct"/>
            <w:shd w:val="clear" w:color="auto" w:fill="auto"/>
            <w:noWrap/>
          </w:tcPr>
          <w:p w14:paraId="5D8F6035">
            <w:pPr>
              <w:rPr>
                <w:rFonts w:hint="eastAsia" w:ascii="宋体" w:hAnsi="宋体" w:eastAsia="宋体" w:cs="宋体"/>
                <w:sz w:val="24"/>
                <w:szCs w:val="24"/>
                <w:highlight w:val="none"/>
              </w:rPr>
            </w:pPr>
            <w:r>
              <w:rPr>
                <w:rFonts w:hint="eastAsia" w:ascii="宋体" w:hAnsi="宋体" w:eastAsia="宋体" w:cs="宋体"/>
                <w:sz w:val="24"/>
                <w:szCs w:val="24"/>
                <w:highlight w:val="none"/>
              </w:rPr>
              <w:t>3.垃圾箱加盖，定时转移餐厨垃圾。</w:t>
            </w:r>
          </w:p>
        </w:tc>
        <w:tc>
          <w:tcPr>
            <w:tcW w:w="276" w:type="pct"/>
            <w:vMerge w:val="continue"/>
            <w:noWrap/>
            <w:vAlign w:val="center"/>
          </w:tcPr>
          <w:p w14:paraId="39043C72">
            <w:pPr>
              <w:rPr>
                <w:rFonts w:hint="eastAsia" w:ascii="宋体" w:hAnsi="宋体" w:eastAsia="宋体" w:cs="宋体"/>
                <w:sz w:val="24"/>
                <w:szCs w:val="24"/>
                <w:highlight w:val="none"/>
              </w:rPr>
            </w:pPr>
          </w:p>
        </w:tc>
        <w:tc>
          <w:tcPr>
            <w:tcW w:w="224" w:type="pct"/>
            <w:vMerge w:val="continue"/>
            <w:noWrap/>
            <w:vAlign w:val="center"/>
          </w:tcPr>
          <w:p w14:paraId="1643E2D6">
            <w:pPr>
              <w:rPr>
                <w:rFonts w:hint="eastAsia" w:ascii="宋体" w:hAnsi="宋体" w:eastAsia="宋体" w:cs="宋体"/>
                <w:sz w:val="24"/>
                <w:szCs w:val="24"/>
                <w:highlight w:val="none"/>
              </w:rPr>
            </w:pPr>
          </w:p>
        </w:tc>
      </w:tr>
      <w:tr w14:paraId="1B03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28B7B9FE">
            <w:pPr>
              <w:rPr>
                <w:rFonts w:hint="eastAsia" w:ascii="宋体" w:hAnsi="宋体" w:eastAsia="宋体" w:cs="宋体"/>
                <w:sz w:val="24"/>
                <w:szCs w:val="24"/>
                <w:highlight w:val="none"/>
              </w:rPr>
            </w:pPr>
          </w:p>
        </w:tc>
        <w:tc>
          <w:tcPr>
            <w:tcW w:w="477" w:type="pct"/>
            <w:vMerge w:val="continue"/>
            <w:shd w:val="clear" w:color="auto" w:fill="auto"/>
            <w:noWrap/>
            <w:vAlign w:val="center"/>
          </w:tcPr>
          <w:p w14:paraId="018231F4">
            <w:pPr>
              <w:rPr>
                <w:rFonts w:hint="eastAsia" w:ascii="宋体" w:hAnsi="宋体" w:eastAsia="宋体" w:cs="宋体"/>
                <w:sz w:val="24"/>
                <w:szCs w:val="24"/>
                <w:highlight w:val="none"/>
              </w:rPr>
            </w:pPr>
          </w:p>
        </w:tc>
        <w:tc>
          <w:tcPr>
            <w:tcW w:w="3546" w:type="pct"/>
            <w:shd w:val="clear" w:color="auto" w:fill="auto"/>
            <w:noWrap/>
          </w:tcPr>
          <w:p w14:paraId="3894F4D8">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4.废弃物设施应经常清洁消毒，清洁工具如扫把拖把能正常使用</w:t>
            </w:r>
            <w:r>
              <w:rPr>
                <w:rFonts w:hint="eastAsia" w:ascii="宋体" w:hAnsi="宋体" w:eastAsia="宋体" w:cs="宋体"/>
                <w:sz w:val="24"/>
                <w:szCs w:val="24"/>
                <w:highlight w:val="none"/>
                <w:lang w:eastAsia="zh-CN"/>
              </w:rPr>
              <w:t>。</w:t>
            </w:r>
          </w:p>
        </w:tc>
        <w:tc>
          <w:tcPr>
            <w:tcW w:w="276" w:type="pct"/>
            <w:vMerge w:val="continue"/>
            <w:noWrap/>
            <w:vAlign w:val="center"/>
          </w:tcPr>
          <w:p w14:paraId="3B97F770">
            <w:pPr>
              <w:rPr>
                <w:rFonts w:hint="eastAsia" w:ascii="宋体" w:hAnsi="宋体" w:eastAsia="宋体" w:cs="宋体"/>
                <w:sz w:val="24"/>
                <w:szCs w:val="24"/>
                <w:highlight w:val="none"/>
              </w:rPr>
            </w:pPr>
          </w:p>
        </w:tc>
        <w:tc>
          <w:tcPr>
            <w:tcW w:w="224" w:type="pct"/>
            <w:vMerge w:val="continue"/>
            <w:noWrap/>
            <w:vAlign w:val="center"/>
          </w:tcPr>
          <w:p w14:paraId="17F6069E">
            <w:pPr>
              <w:rPr>
                <w:rFonts w:hint="eastAsia" w:ascii="宋体" w:hAnsi="宋体" w:eastAsia="宋体" w:cs="宋体"/>
                <w:sz w:val="24"/>
                <w:szCs w:val="24"/>
                <w:highlight w:val="none"/>
              </w:rPr>
            </w:pPr>
          </w:p>
        </w:tc>
      </w:tr>
      <w:tr w14:paraId="34C1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354CD503">
            <w:pPr>
              <w:rPr>
                <w:rFonts w:hint="eastAsia" w:ascii="宋体" w:hAnsi="宋体" w:eastAsia="宋体" w:cs="宋体"/>
                <w:sz w:val="24"/>
                <w:szCs w:val="24"/>
                <w:highlight w:val="none"/>
              </w:rPr>
            </w:pPr>
          </w:p>
        </w:tc>
        <w:tc>
          <w:tcPr>
            <w:tcW w:w="477" w:type="pct"/>
            <w:vMerge w:val="continue"/>
            <w:shd w:val="clear" w:color="auto" w:fill="auto"/>
            <w:noWrap/>
            <w:vAlign w:val="center"/>
          </w:tcPr>
          <w:p w14:paraId="01599BD8">
            <w:pPr>
              <w:rPr>
                <w:rFonts w:hint="eastAsia" w:ascii="宋体" w:hAnsi="宋体" w:eastAsia="宋体" w:cs="宋体"/>
                <w:sz w:val="24"/>
                <w:szCs w:val="24"/>
                <w:highlight w:val="none"/>
              </w:rPr>
            </w:pPr>
          </w:p>
        </w:tc>
        <w:tc>
          <w:tcPr>
            <w:tcW w:w="3546" w:type="pct"/>
            <w:shd w:val="clear" w:color="auto" w:fill="auto"/>
            <w:noWrap/>
          </w:tcPr>
          <w:p w14:paraId="36E7B57F">
            <w:pPr>
              <w:rPr>
                <w:rFonts w:hint="eastAsia" w:ascii="宋体" w:hAnsi="宋体" w:eastAsia="宋体" w:cs="宋体"/>
                <w:sz w:val="24"/>
                <w:szCs w:val="24"/>
                <w:highlight w:val="none"/>
              </w:rPr>
            </w:pPr>
            <w:r>
              <w:rPr>
                <w:rFonts w:hint="eastAsia" w:ascii="宋体" w:hAnsi="宋体" w:eastAsia="宋体" w:cs="宋体"/>
                <w:sz w:val="24"/>
                <w:szCs w:val="24"/>
                <w:highlight w:val="none"/>
              </w:rPr>
              <w:t>5.建筑物、设备、用具、以及所有机构设施，包括排水系统，保持在适当的维护状态和条件下，符合所有卫生程序。</w:t>
            </w:r>
          </w:p>
        </w:tc>
        <w:tc>
          <w:tcPr>
            <w:tcW w:w="276" w:type="pct"/>
            <w:vMerge w:val="continue"/>
            <w:noWrap/>
            <w:vAlign w:val="center"/>
          </w:tcPr>
          <w:p w14:paraId="1515CDBC">
            <w:pPr>
              <w:rPr>
                <w:rFonts w:hint="eastAsia" w:ascii="宋体" w:hAnsi="宋体" w:eastAsia="宋体" w:cs="宋体"/>
                <w:sz w:val="24"/>
                <w:szCs w:val="24"/>
                <w:highlight w:val="none"/>
              </w:rPr>
            </w:pPr>
          </w:p>
        </w:tc>
        <w:tc>
          <w:tcPr>
            <w:tcW w:w="224" w:type="pct"/>
            <w:vMerge w:val="continue"/>
            <w:noWrap/>
            <w:vAlign w:val="center"/>
          </w:tcPr>
          <w:p w14:paraId="0016D354">
            <w:pPr>
              <w:rPr>
                <w:rFonts w:hint="eastAsia" w:ascii="宋体" w:hAnsi="宋体" w:eastAsia="宋体" w:cs="宋体"/>
                <w:sz w:val="24"/>
                <w:szCs w:val="24"/>
                <w:highlight w:val="none"/>
              </w:rPr>
            </w:pPr>
          </w:p>
        </w:tc>
      </w:tr>
      <w:tr w14:paraId="7C61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63D8DED4">
            <w:pPr>
              <w:rPr>
                <w:rFonts w:hint="eastAsia" w:ascii="宋体" w:hAnsi="宋体" w:eastAsia="宋体" w:cs="宋体"/>
                <w:sz w:val="24"/>
                <w:szCs w:val="24"/>
                <w:highlight w:val="none"/>
              </w:rPr>
            </w:pPr>
          </w:p>
        </w:tc>
        <w:tc>
          <w:tcPr>
            <w:tcW w:w="477" w:type="pct"/>
            <w:vMerge w:val="continue"/>
            <w:shd w:val="clear" w:color="auto" w:fill="auto"/>
            <w:noWrap/>
            <w:vAlign w:val="center"/>
          </w:tcPr>
          <w:p w14:paraId="4324B062">
            <w:pPr>
              <w:rPr>
                <w:rFonts w:hint="eastAsia" w:ascii="宋体" w:hAnsi="宋体" w:eastAsia="宋体" w:cs="宋体"/>
                <w:sz w:val="24"/>
                <w:szCs w:val="24"/>
                <w:highlight w:val="none"/>
              </w:rPr>
            </w:pPr>
          </w:p>
        </w:tc>
        <w:tc>
          <w:tcPr>
            <w:tcW w:w="3546" w:type="pct"/>
            <w:shd w:val="clear" w:color="auto" w:fill="auto"/>
            <w:noWrap/>
          </w:tcPr>
          <w:p w14:paraId="272AB96C">
            <w:pPr>
              <w:rPr>
                <w:rFonts w:hint="eastAsia" w:ascii="宋体" w:hAnsi="宋体" w:eastAsia="宋体" w:cs="宋体"/>
                <w:sz w:val="24"/>
                <w:szCs w:val="24"/>
                <w:highlight w:val="none"/>
              </w:rPr>
            </w:pPr>
            <w:r>
              <w:rPr>
                <w:rFonts w:hint="eastAsia" w:ascii="宋体" w:hAnsi="宋体" w:eastAsia="宋体" w:cs="宋体"/>
                <w:sz w:val="24"/>
                <w:szCs w:val="24"/>
                <w:highlight w:val="none"/>
              </w:rPr>
              <w:t>6.展售食品标签正常、正确标识。</w:t>
            </w:r>
          </w:p>
        </w:tc>
        <w:tc>
          <w:tcPr>
            <w:tcW w:w="276" w:type="pct"/>
            <w:vMerge w:val="continue"/>
            <w:noWrap/>
            <w:vAlign w:val="center"/>
          </w:tcPr>
          <w:p w14:paraId="4CBBFC32">
            <w:pPr>
              <w:rPr>
                <w:rFonts w:hint="eastAsia" w:ascii="宋体" w:hAnsi="宋体" w:eastAsia="宋体" w:cs="宋体"/>
                <w:sz w:val="24"/>
                <w:szCs w:val="24"/>
                <w:highlight w:val="none"/>
              </w:rPr>
            </w:pPr>
          </w:p>
        </w:tc>
        <w:tc>
          <w:tcPr>
            <w:tcW w:w="224" w:type="pct"/>
            <w:vMerge w:val="continue"/>
            <w:noWrap/>
            <w:vAlign w:val="center"/>
          </w:tcPr>
          <w:p w14:paraId="561048A4">
            <w:pPr>
              <w:rPr>
                <w:rFonts w:hint="eastAsia" w:ascii="宋体" w:hAnsi="宋体" w:eastAsia="宋体" w:cs="宋体"/>
                <w:sz w:val="24"/>
                <w:szCs w:val="24"/>
                <w:highlight w:val="none"/>
              </w:rPr>
            </w:pPr>
          </w:p>
        </w:tc>
      </w:tr>
      <w:tr w14:paraId="5C76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74" w:type="pct"/>
            <w:vMerge w:val="continue"/>
            <w:shd w:val="clear" w:color="auto" w:fill="auto"/>
            <w:noWrap/>
            <w:vAlign w:val="center"/>
          </w:tcPr>
          <w:p w14:paraId="46FE2D75">
            <w:pPr>
              <w:rPr>
                <w:rFonts w:hint="eastAsia" w:ascii="宋体" w:hAnsi="宋体" w:eastAsia="宋体" w:cs="宋体"/>
                <w:sz w:val="24"/>
                <w:szCs w:val="24"/>
                <w:highlight w:val="none"/>
              </w:rPr>
            </w:pPr>
          </w:p>
        </w:tc>
        <w:tc>
          <w:tcPr>
            <w:tcW w:w="477" w:type="pct"/>
            <w:vMerge w:val="continue"/>
            <w:shd w:val="clear" w:color="auto" w:fill="auto"/>
            <w:noWrap/>
            <w:vAlign w:val="center"/>
          </w:tcPr>
          <w:p w14:paraId="7CD9FA38">
            <w:pPr>
              <w:rPr>
                <w:rFonts w:hint="eastAsia" w:ascii="宋体" w:hAnsi="宋体" w:eastAsia="宋体" w:cs="宋体"/>
                <w:sz w:val="24"/>
                <w:szCs w:val="24"/>
                <w:highlight w:val="none"/>
              </w:rPr>
            </w:pPr>
          </w:p>
        </w:tc>
        <w:tc>
          <w:tcPr>
            <w:tcW w:w="3546" w:type="pct"/>
            <w:shd w:val="clear" w:color="auto" w:fill="auto"/>
            <w:noWrap/>
          </w:tcPr>
          <w:p w14:paraId="6F4B23D9">
            <w:pPr>
              <w:rPr>
                <w:rFonts w:hint="eastAsia" w:ascii="宋体" w:hAnsi="宋体" w:eastAsia="宋体" w:cs="宋体"/>
                <w:sz w:val="24"/>
                <w:szCs w:val="24"/>
                <w:highlight w:val="none"/>
              </w:rPr>
            </w:pPr>
            <w:r>
              <w:rPr>
                <w:rFonts w:hint="eastAsia" w:ascii="宋体" w:hAnsi="宋体" w:eastAsia="宋体" w:cs="宋体"/>
                <w:sz w:val="24"/>
                <w:szCs w:val="24"/>
                <w:highlight w:val="none"/>
              </w:rPr>
              <w:t>（发现违反上述规定，每次扣1分）</w:t>
            </w:r>
          </w:p>
        </w:tc>
        <w:tc>
          <w:tcPr>
            <w:tcW w:w="276" w:type="pct"/>
            <w:vMerge w:val="continue"/>
            <w:noWrap/>
            <w:vAlign w:val="center"/>
          </w:tcPr>
          <w:p w14:paraId="56D6A4B9">
            <w:pPr>
              <w:rPr>
                <w:rFonts w:hint="eastAsia" w:ascii="宋体" w:hAnsi="宋体" w:eastAsia="宋体" w:cs="宋体"/>
                <w:sz w:val="24"/>
                <w:szCs w:val="24"/>
                <w:highlight w:val="none"/>
              </w:rPr>
            </w:pPr>
          </w:p>
        </w:tc>
        <w:tc>
          <w:tcPr>
            <w:tcW w:w="224" w:type="pct"/>
            <w:vMerge w:val="continue"/>
            <w:noWrap/>
            <w:vAlign w:val="center"/>
          </w:tcPr>
          <w:p w14:paraId="5135B817">
            <w:pPr>
              <w:rPr>
                <w:rFonts w:hint="eastAsia" w:ascii="宋体" w:hAnsi="宋体" w:eastAsia="宋体" w:cs="宋体"/>
                <w:sz w:val="24"/>
                <w:szCs w:val="24"/>
                <w:highlight w:val="none"/>
              </w:rPr>
            </w:pPr>
          </w:p>
        </w:tc>
      </w:tr>
      <w:tr w14:paraId="326C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74" w:type="pct"/>
            <w:vMerge w:val="continue"/>
            <w:shd w:val="clear" w:color="auto" w:fill="auto"/>
            <w:noWrap/>
            <w:vAlign w:val="center"/>
          </w:tcPr>
          <w:p w14:paraId="5188B2A2">
            <w:pPr>
              <w:rPr>
                <w:rFonts w:hint="eastAsia" w:ascii="宋体" w:hAnsi="宋体" w:eastAsia="宋体" w:cs="宋体"/>
                <w:sz w:val="24"/>
                <w:szCs w:val="24"/>
                <w:highlight w:val="none"/>
              </w:rPr>
            </w:pPr>
          </w:p>
        </w:tc>
        <w:tc>
          <w:tcPr>
            <w:tcW w:w="477" w:type="pct"/>
            <w:vMerge w:val="restart"/>
            <w:shd w:val="clear" w:color="auto" w:fill="auto"/>
            <w:noWrap/>
            <w:vAlign w:val="center"/>
          </w:tcPr>
          <w:p w14:paraId="0F3B1113">
            <w:pPr>
              <w:rPr>
                <w:rFonts w:hint="eastAsia" w:ascii="宋体" w:hAnsi="宋体" w:eastAsia="宋体" w:cs="宋体"/>
                <w:sz w:val="24"/>
                <w:szCs w:val="24"/>
                <w:highlight w:val="none"/>
              </w:rPr>
            </w:pPr>
            <w:r>
              <w:rPr>
                <w:rFonts w:hint="eastAsia" w:ascii="宋体" w:hAnsi="宋体" w:eastAsia="宋体" w:cs="宋体"/>
                <w:sz w:val="24"/>
                <w:szCs w:val="24"/>
                <w:highlight w:val="none"/>
              </w:rPr>
              <w:t>防范措施</w:t>
            </w:r>
          </w:p>
        </w:tc>
        <w:tc>
          <w:tcPr>
            <w:tcW w:w="3546" w:type="pct"/>
            <w:shd w:val="clear" w:color="auto" w:fill="auto"/>
            <w:noWrap/>
            <w:vAlign w:val="center"/>
          </w:tcPr>
          <w:p w14:paraId="324E21D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1.每日严格执行晨检制度，有发热、腹泻、皮肤伤口当有碍食品安全病症的人员，应立即离开岗位，治愈后方可重新上岗，餐厅工作人员具备符合要求的健康证：健康证在有效期内（发票不能代替）。</w:t>
            </w:r>
          </w:p>
        </w:tc>
        <w:tc>
          <w:tcPr>
            <w:tcW w:w="276" w:type="pct"/>
            <w:vMerge w:val="restart"/>
            <w:shd w:val="clear" w:color="auto" w:fill="auto"/>
            <w:noWrap/>
            <w:vAlign w:val="center"/>
          </w:tcPr>
          <w:p w14:paraId="12848AC6">
            <w:pP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24" w:type="pct"/>
            <w:vMerge w:val="restart"/>
            <w:shd w:val="clear" w:color="auto" w:fill="auto"/>
            <w:noWrap/>
          </w:tcPr>
          <w:p w14:paraId="2C4116E5">
            <w:pPr>
              <w:rPr>
                <w:rFonts w:hint="eastAsia" w:ascii="宋体" w:hAnsi="宋体" w:eastAsia="宋体" w:cs="宋体"/>
                <w:sz w:val="24"/>
                <w:szCs w:val="24"/>
                <w:highlight w:val="none"/>
              </w:rPr>
            </w:pPr>
          </w:p>
        </w:tc>
      </w:tr>
      <w:tr w14:paraId="65C7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218C3B23">
            <w:pPr>
              <w:rPr>
                <w:rFonts w:hint="eastAsia" w:ascii="宋体" w:hAnsi="宋体" w:eastAsia="宋体" w:cs="宋体"/>
                <w:sz w:val="24"/>
                <w:szCs w:val="24"/>
                <w:highlight w:val="none"/>
              </w:rPr>
            </w:pPr>
          </w:p>
        </w:tc>
        <w:tc>
          <w:tcPr>
            <w:tcW w:w="477" w:type="pct"/>
            <w:vMerge w:val="continue"/>
            <w:shd w:val="clear" w:color="auto" w:fill="auto"/>
            <w:noWrap/>
            <w:vAlign w:val="center"/>
          </w:tcPr>
          <w:p w14:paraId="623B2CB9">
            <w:pPr>
              <w:rPr>
                <w:rFonts w:hint="eastAsia" w:ascii="宋体" w:hAnsi="宋体" w:eastAsia="宋体" w:cs="宋体"/>
                <w:sz w:val="24"/>
                <w:szCs w:val="24"/>
                <w:highlight w:val="none"/>
              </w:rPr>
            </w:pPr>
          </w:p>
        </w:tc>
        <w:tc>
          <w:tcPr>
            <w:tcW w:w="3546" w:type="pct"/>
            <w:shd w:val="clear" w:color="auto" w:fill="auto"/>
            <w:noWrap/>
            <w:vAlign w:val="center"/>
          </w:tcPr>
          <w:p w14:paraId="47B0B7C0">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2.入职员工必须有有效的健康证。</w:t>
            </w:r>
          </w:p>
        </w:tc>
        <w:tc>
          <w:tcPr>
            <w:tcW w:w="276" w:type="pct"/>
            <w:vMerge w:val="continue"/>
            <w:noWrap/>
            <w:vAlign w:val="center"/>
          </w:tcPr>
          <w:p w14:paraId="6A48CD7B">
            <w:pPr>
              <w:rPr>
                <w:rFonts w:hint="eastAsia" w:ascii="宋体" w:hAnsi="宋体" w:eastAsia="宋体" w:cs="宋体"/>
                <w:sz w:val="24"/>
                <w:szCs w:val="24"/>
                <w:highlight w:val="none"/>
              </w:rPr>
            </w:pPr>
          </w:p>
        </w:tc>
        <w:tc>
          <w:tcPr>
            <w:tcW w:w="224" w:type="pct"/>
            <w:vMerge w:val="continue"/>
            <w:noWrap/>
            <w:vAlign w:val="center"/>
          </w:tcPr>
          <w:p w14:paraId="1FB86C64">
            <w:pPr>
              <w:rPr>
                <w:rFonts w:hint="eastAsia" w:ascii="宋体" w:hAnsi="宋体" w:eastAsia="宋体" w:cs="宋体"/>
                <w:sz w:val="24"/>
                <w:szCs w:val="24"/>
                <w:highlight w:val="none"/>
              </w:rPr>
            </w:pPr>
          </w:p>
        </w:tc>
      </w:tr>
      <w:tr w14:paraId="5365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74" w:type="pct"/>
            <w:vMerge w:val="continue"/>
            <w:shd w:val="clear" w:color="auto" w:fill="auto"/>
            <w:noWrap/>
            <w:vAlign w:val="center"/>
          </w:tcPr>
          <w:p w14:paraId="01C0D067">
            <w:pPr>
              <w:rPr>
                <w:rFonts w:hint="eastAsia" w:ascii="宋体" w:hAnsi="宋体" w:eastAsia="宋体" w:cs="宋体"/>
                <w:sz w:val="24"/>
                <w:szCs w:val="24"/>
                <w:highlight w:val="none"/>
              </w:rPr>
            </w:pPr>
          </w:p>
        </w:tc>
        <w:tc>
          <w:tcPr>
            <w:tcW w:w="477" w:type="pct"/>
            <w:vMerge w:val="continue"/>
            <w:shd w:val="clear" w:color="auto" w:fill="auto"/>
            <w:noWrap/>
            <w:vAlign w:val="center"/>
          </w:tcPr>
          <w:p w14:paraId="4F6047C1">
            <w:pPr>
              <w:rPr>
                <w:rFonts w:hint="eastAsia" w:ascii="宋体" w:hAnsi="宋体" w:eastAsia="宋体" w:cs="宋体"/>
                <w:sz w:val="24"/>
                <w:szCs w:val="24"/>
                <w:highlight w:val="none"/>
              </w:rPr>
            </w:pPr>
          </w:p>
        </w:tc>
        <w:tc>
          <w:tcPr>
            <w:tcW w:w="3546" w:type="pct"/>
            <w:shd w:val="clear" w:color="auto" w:fill="auto"/>
            <w:noWrap/>
            <w:vAlign w:val="center"/>
          </w:tcPr>
          <w:p w14:paraId="76532F2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3.工作人员仪容仪表符合要求，衣着干净、齐全、佩带正确（帽子、发网、围裙等），员工佩戴口罩符合要求，在食品加工区域禁止佩戴首饰（戒指、耳环、垂饰、手表等）。</w:t>
            </w:r>
          </w:p>
        </w:tc>
        <w:tc>
          <w:tcPr>
            <w:tcW w:w="276" w:type="pct"/>
            <w:vMerge w:val="continue"/>
            <w:noWrap/>
            <w:vAlign w:val="center"/>
          </w:tcPr>
          <w:p w14:paraId="75893529">
            <w:pPr>
              <w:rPr>
                <w:rFonts w:hint="eastAsia" w:ascii="宋体" w:hAnsi="宋体" w:eastAsia="宋体" w:cs="宋体"/>
                <w:sz w:val="24"/>
                <w:szCs w:val="24"/>
                <w:highlight w:val="none"/>
              </w:rPr>
            </w:pPr>
          </w:p>
        </w:tc>
        <w:tc>
          <w:tcPr>
            <w:tcW w:w="224" w:type="pct"/>
            <w:vMerge w:val="continue"/>
            <w:noWrap/>
            <w:vAlign w:val="center"/>
          </w:tcPr>
          <w:p w14:paraId="59349FEE">
            <w:pPr>
              <w:rPr>
                <w:rFonts w:hint="eastAsia" w:ascii="宋体" w:hAnsi="宋体" w:eastAsia="宋体" w:cs="宋体"/>
                <w:sz w:val="24"/>
                <w:szCs w:val="24"/>
                <w:highlight w:val="none"/>
              </w:rPr>
            </w:pPr>
          </w:p>
        </w:tc>
      </w:tr>
      <w:tr w14:paraId="799B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74" w:type="pct"/>
            <w:vMerge w:val="continue"/>
            <w:shd w:val="clear" w:color="auto" w:fill="auto"/>
            <w:noWrap/>
            <w:vAlign w:val="center"/>
          </w:tcPr>
          <w:p w14:paraId="6B5308D8">
            <w:pPr>
              <w:rPr>
                <w:rFonts w:hint="eastAsia" w:ascii="宋体" w:hAnsi="宋体" w:eastAsia="宋体" w:cs="宋体"/>
                <w:sz w:val="24"/>
                <w:szCs w:val="24"/>
                <w:highlight w:val="none"/>
              </w:rPr>
            </w:pPr>
          </w:p>
        </w:tc>
        <w:tc>
          <w:tcPr>
            <w:tcW w:w="477" w:type="pct"/>
            <w:vMerge w:val="continue"/>
            <w:shd w:val="clear" w:color="auto" w:fill="auto"/>
            <w:noWrap/>
            <w:vAlign w:val="center"/>
          </w:tcPr>
          <w:p w14:paraId="69DD277B">
            <w:pPr>
              <w:rPr>
                <w:rFonts w:hint="eastAsia" w:ascii="宋体" w:hAnsi="宋体" w:eastAsia="宋体" w:cs="宋体"/>
                <w:sz w:val="24"/>
                <w:szCs w:val="24"/>
                <w:highlight w:val="none"/>
              </w:rPr>
            </w:pPr>
          </w:p>
        </w:tc>
        <w:tc>
          <w:tcPr>
            <w:tcW w:w="3546" w:type="pct"/>
            <w:shd w:val="clear" w:color="auto" w:fill="auto"/>
            <w:noWrap/>
            <w:vAlign w:val="center"/>
          </w:tcPr>
          <w:p w14:paraId="3CD8DA7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4.男工作人员头发的长度前面不超过眉毛、侧面不超过耳垂、后面不超过衣领。女工作人员长发应扎起，且头发应全部放置工作帽中。</w:t>
            </w:r>
          </w:p>
        </w:tc>
        <w:tc>
          <w:tcPr>
            <w:tcW w:w="276" w:type="pct"/>
            <w:vMerge w:val="continue"/>
            <w:noWrap/>
            <w:vAlign w:val="center"/>
          </w:tcPr>
          <w:p w14:paraId="1F7E94A5">
            <w:pPr>
              <w:rPr>
                <w:rFonts w:hint="eastAsia" w:ascii="宋体" w:hAnsi="宋体" w:eastAsia="宋体" w:cs="宋体"/>
                <w:sz w:val="24"/>
                <w:szCs w:val="24"/>
                <w:highlight w:val="none"/>
              </w:rPr>
            </w:pPr>
          </w:p>
        </w:tc>
        <w:tc>
          <w:tcPr>
            <w:tcW w:w="224" w:type="pct"/>
            <w:vMerge w:val="continue"/>
            <w:noWrap/>
            <w:vAlign w:val="center"/>
          </w:tcPr>
          <w:p w14:paraId="412C38A0">
            <w:pPr>
              <w:rPr>
                <w:rFonts w:hint="eastAsia" w:ascii="宋体" w:hAnsi="宋体" w:eastAsia="宋体" w:cs="宋体"/>
                <w:sz w:val="24"/>
                <w:szCs w:val="24"/>
                <w:highlight w:val="none"/>
              </w:rPr>
            </w:pPr>
          </w:p>
        </w:tc>
      </w:tr>
      <w:tr w14:paraId="15DF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74" w:type="pct"/>
            <w:vMerge w:val="continue"/>
            <w:shd w:val="clear" w:color="auto" w:fill="auto"/>
            <w:noWrap/>
            <w:vAlign w:val="center"/>
          </w:tcPr>
          <w:p w14:paraId="43D39FE5">
            <w:pPr>
              <w:rPr>
                <w:rFonts w:hint="eastAsia" w:ascii="宋体" w:hAnsi="宋体" w:eastAsia="宋体" w:cs="宋体"/>
                <w:sz w:val="24"/>
                <w:szCs w:val="24"/>
                <w:highlight w:val="none"/>
              </w:rPr>
            </w:pPr>
          </w:p>
        </w:tc>
        <w:tc>
          <w:tcPr>
            <w:tcW w:w="477" w:type="pct"/>
            <w:vMerge w:val="continue"/>
            <w:shd w:val="clear" w:color="auto" w:fill="auto"/>
            <w:noWrap/>
            <w:vAlign w:val="center"/>
          </w:tcPr>
          <w:p w14:paraId="4055170F">
            <w:pPr>
              <w:rPr>
                <w:rFonts w:hint="eastAsia" w:ascii="宋体" w:hAnsi="宋体" w:eastAsia="宋体" w:cs="宋体"/>
                <w:sz w:val="24"/>
                <w:szCs w:val="24"/>
                <w:highlight w:val="none"/>
              </w:rPr>
            </w:pPr>
          </w:p>
        </w:tc>
        <w:tc>
          <w:tcPr>
            <w:tcW w:w="3546" w:type="pct"/>
            <w:shd w:val="clear" w:color="auto" w:fill="auto"/>
            <w:noWrap/>
            <w:vAlign w:val="center"/>
          </w:tcPr>
          <w:p w14:paraId="5848A136">
            <w:pPr>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5.餐厅工作人员有无蓄留指甲、涂指甲油或戴假指甲等现象</w:t>
            </w:r>
            <w:r>
              <w:rPr>
                <w:rFonts w:hint="eastAsia" w:ascii="宋体" w:hAnsi="宋体" w:eastAsia="宋体" w:cs="宋体"/>
                <w:sz w:val="24"/>
                <w:szCs w:val="24"/>
                <w:highlight w:val="none"/>
                <w:lang w:eastAsia="zh-CN"/>
              </w:rPr>
              <w:t>。</w:t>
            </w:r>
          </w:p>
        </w:tc>
        <w:tc>
          <w:tcPr>
            <w:tcW w:w="276" w:type="pct"/>
            <w:vMerge w:val="continue"/>
            <w:noWrap/>
            <w:vAlign w:val="center"/>
          </w:tcPr>
          <w:p w14:paraId="158630B8">
            <w:pPr>
              <w:rPr>
                <w:rFonts w:hint="eastAsia" w:ascii="宋体" w:hAnsi="宋体" w:eastAsia="宋体" w:cs="宋体"/>
                <w:sz w:val="24"/>
                <w:szCs w:val="24"/>
                <w:highlight w:val="none"/>
              </w:rPr>
            </w:pPr>
          </w:p>
        </w:tc>
        <w:tc>
          <w:tcPr>
            <w:tcW w:w="224" w:type="pct"/>
            <w:vMerge w:val="continue"/>
            <w:noWrap/>
            <w:vAlign w:val="center"/>
          </w:tcPr>
          <w:p w14:paraId="214720E3">
            <w:pPr>
              <w:rPr>
                <w:rFonts w:hint="eastAsia" w:ascii="宋体" w:hAnsi="宋体" w:eastAsia="宋体" w:cs="宋体"/>
                <w:sz w:val="24"/>
                <w:szCs w:val="24"/>
                <w:highlight w:val="none"/>
              </w:rPr>
            </w:pPr>
          </w:p>
        </w:tc>
      </w:tr>
      <w:tr w14:paraId="2790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 w:type="pct"/>
            <w:vMerge w:val="continue"/>
            <w:shd w:val="clear" w:color="auto" w:fill="auto"/>
            <w:noWrap/>
            <w:vAlign w:val="center"/>
          </w:tcPr>
          <w:p w14:paraId="3F10BEB7">
            <w:pPr>
              <w:rPr>
                <w:rFonts w:hint="eastAsia" w:ascii="宋体" w:hAnsi="宋体" w:eastAsia="宋体" w:cs="宋体"/>
                <w:sz w:val="24"/>
                <w:szCs w:val="24"/>
                <w:highlight w:val="none"/>
              </w:rPr>
            </w:pPr>
          </w:p>
        </w:tc>
        <w:tc>
          <w:tcPr>
            <w:tcW w:w="477" w:type="pct"/>
            <w:vMerge w:val="continue"/>
            <w:shd w:val="clear" w:color="auto" w:fill="auto"/>
            <w:noWrap/>
            <w:vAlign w:val="center"/>
          </w:tcPr>
          <w:p w14:paraId="499D752A">
            <w:pPr>
              <w:rPr>
                <w:rFonts w:hint="eastAsia" w:ascii="宋体" w:hAnsi="宋体" w:eastAsia="宋体" w:cs="宋体"/>
                <w:sz w:val="24"/>
                <w:szCs w:val="24"/>
                <w:highlight w:val="none"/>
              </w:rPr>
            </w:pPr>
          </w:p>
        </w:tc>
        <w:tc>
          <w:tcPr>
            <w:tcW w:w="3546" w:type="pct"/>
            <w:shd w:val="clear" w:color="auto" w:fill="auto"/>
            <w:noWrap/>
            <w:vAlign w:val="center"/>
          </w:tcPr>
          <w:p w14:paraId="1394FD20">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6.在食品区域内张贴员工个人规范示意图。</w:t>
            </w:r>
          </w:p>
        </w:tc>
        <w:tc>
          <w:tcPr>
            <w:tcW w:w="276" w:type="pct"/>
            <w:vMerge w:val="continue"/>
            <w:noWrap/>
            <w:vAlign w:val="center"/>
          </w:tcPr>
          <w:p w14:paraId="250DA500">
            <w:pPr>
              <w:rPr>
                <w:rFonts w:hint="eastAsia" w:ascii="宋体" w:hAnsi="宋体" w:eastAsia="宋体" w:cs="宋体"/>
                <w:sz w:val="24"/>
                <w:szCs w:val="24"/>
                <w:highlight w:val="none"/>
              </w:rPr>
            </w:pPr>
          </w:p>
        </w:tc>
        <w:tc>
          <w:tcPr>
            <w:tcW w:w="224" w:type="pct"/>
            <w:vMerge w:val="continue"/>
            <w:noWrap/>
            <w:vAlign w:val="center"/>
          </w:tcPr>
          <w:p w14:paraId="4C022247">
            <w:pPr>
              <w:rPr>
                <w:rFonts w:hint="eastAsia" w:ascii="宋体" w:hAnsi="宋体" w:eastAsia="宋体" w:cs="宋体"/>
                <w:sz w:val="24"/>
                <w:szCs w:val="24"/>
                <w:highlight w:val="none"/>
              </w:rPr>
            </w:pPr>
          </w:p>
        </w:tc>
      </w:tr>
      <w:tr w14:paraId="4343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191B628E">
            <w:pPr>
              <w:rPr>
                <w:rFonts w:hint="eastAsia" w:ascii="宋体" w:hAnsi="宋体" w:eastAsia="宋体" w:cs="宋体"/>
                <w:sz w:val="24"/>
                <w:szCs w:val="24"/>
                <w:highlight w:val="none"/>
              </w:rPr>
            </w:pPr>
          </w:p>
        </w:tc>
        <w:tc>
          <w:tcPr>
            <w:tcW w:w="477" w:type="pct"/>
            <w:vMerge w:val="continue"/>
            <w:shd w:val="clear" w:color="auto" w:fill="auto"/>
            <w:noWrap/>
            <w:vAlign w:val="center"/>
          </w:tcPr>
          <w:p w14:paraId="2594C435">
            <w:pPr>
              <w:rPr>
                <w:rFonts w:hint="eastAsia" w:ascii="宋体" w:hAnsi="宋体" w:eastAsia="宋体" w:cs="宋体"/>
                <w:sz w:val="24"/>
                <w:szCs w:val="24"/>
                <w:highlight w:val="none"/>
              </w:rPr>
            </w:pPr>
          </w:p>
        </w:tc>
        <w:tc>
          <w:tcPr>
            <w:tcW w:w="3546" w:type="pct"/>
            <w:shd w:val="clear" w:color="auto" w:fill="auto"/>
            <w:noWrap/>
            <w:vAlign w:val="center"/>
          </w:tcPr>
          <w:p w14:paraId="5DE987AE">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7.专间操作人员进入专间时应再次更换专间内专用工作衣帽并佩戴口罩，每次使用前后，紫外线开启至少30min。</w:t>
            </w:r>
          </w:p>
        </w:tc>
        <w:tc>
          <w:tcPr>
            <w:tcW w:w="276" w:type="pct"/>
            <w:vMerge w:val="continue"/>
            <w:noWrap/>
            <w:vAlign w:val="center"/>
          </w:tcPr>
          <w:p w14:paraId="5D2648E6">
            <w:pPr>
              <w:rPr>
                <w:rFonts w:hint="eastAsia" w:ascii="宋体" w:hAnsi="宋体" w:eastAsia="宋体" w:cs="宋体"/>
                <w:sz w:val="24"/>
                <w:szCs w:val="24"/>
                <w:highlight w:val="none"/>
              </w:rPr>
            </w:pPr>
          </w:p>
        </w:tc>
        <w:tc>
          <w:tcPr>
            <w:tcW w:w="224" w:type="pct"/>
            <w:vMerge w:val="continue"/>
            <w:noWrap/>
            <w:vAlign w:val="center"/>
          </w:tcPr>
          <w:p w14:paraId="5EC70541">
            <w:pPr>
              <w:rPr>
                <w:rFonts w:hint="eastAsia" w:ascii="宋体" w:hAnsi="宋体" w:eastAsia="宋体" w:cs="宋体"/>
                <w:sz w:val="24"/>
                <w:szCs w:val="24"/>
                <w:highlight w:val="none"/>
              </w:rPr>
            </w:pPr>
          </w:p>
        </w:tc>
      </w:tr>
      <w:tr w14:paraId="7074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3978DDF5">
            <w:pPr>
              <w:rPr>
                <w:rFonts w:hint="eastAsia" w:ascii="宋体" w:hAnsi="宋体" w:eastAsia="宋体" w:cs="宋体"/>
                <w:sz w:val="24"/>
                <w:szCs w:val="24"/>
                <w:highlight w:val="none"/>
              </w:rPr>
            </w:pPr>
          </w:p>
        </w:tc>
        <w:tc>
          <w:tcPr>
            <w:tcW w:w="477" w:type="pct"/>
            <w:vMerge w:val="continue"/>
            <w:shd w:val="clear" w:color="auto" w:fill="auto"/>
            <w:noWrap/>
            <w:vAlign w:val="center"/>
          </w:tcPr>
          <w:p w14:paraId="05E63D7F">
            <w:pPr>
              <w:rPr>
                <w:rFonts w:hint="eastAsia" w:ascii="宋体" w:hAnsi="宋体" w:eastAsia="宋体" w:cs="宋体"/>
                <w:sz w:val="24"/>
                <w:szCs w:val="24"/>
                <w:highlight w:val="none"/>
              </w:rPr>
            </w:pPr>
          </w:p>
        </w:tc>
        <w:tc>
          <w:tcPr>
            <w:tcW w:w="3546" w:type="pct"/>
            <w:shd w:val="clear" w:color="auto" w:fill="auto"/>
            <w:noWrap/>
            <w:vAlign w:val="center"/>
          </w:tcPr>
          <w:p w14:paraId="2ABDCC1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8.应在指定区域进食、喝水、嚼口香糖和吸烟，厨房及相关区域不得存放私人物品，如水杯，药片等。</w:t>
            </w:r>
          </w:p>
        </w:tc>
        <w:tc>
          <w:tcPr>
            <w:tcW w:w="276" w:type="pct"/>
            <w:vMerge w:val="continue"/>
            <w:noWrap/>
            <w:vAlign w:val="center"/>
          </w:tcPr>
          <w:p w14:paraId="5A798CB5">
            <w:pPr>
              <w:rPr>
                <w:rFonts w:hint="eastAsia" w:ascii="宋体" w:hAnsi="宋体" w:eastAsia="宋体" w:cs="宋体"/>
                <w:sz w:val="24"/>
                <w:szCs w:val="24"/>
                <w:highlight w:val="none"/>
              </w:rPr>
            </w:pPr>
          </w:p>
        </w:tc>
        <w:tc>
          <w:tcPr>
            <w:tcW w:w="224" w:type="pct"/>
            <w:vMerge w:val="continue"/>
            <w:noWrap/>
            <w:vAlign w:val="center"/>
          </w:tcPr>
          <w:p w14:paraId="6CA3925D">
            <w:pPr>
              <w:rPr>
                <w:rFonts w:hint="eastAsia" w:ascii="宋体" w:hAnsi="宋体" w:eastAsia="宋体" w:cs="宋体"/>
                <w:sz w:val="24"/>
                <w:szCs w:val="24"/>
                <w:highlight w:val="none"/>
              </w:rPr>
            </w:pPr>
          </w:p>
        </w:tc>
      </w:tr>
      <w:tr w14:paraId="57F6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3CFD0F4A">
            <w:pPr>
              <w:rPr>
                <w:rFonts w:hint="eastAsia" w:ascii="宋体" w:hAnsi="宋体" w:eastAsia="宋体" w:cs="宋体"/>
                <w:sz w:val="24"/>
                <w:szCs w:val="24"/>
                <w:highlight w:val="none"/>
              </w:rPr>
            </w:pPr>
          </w:p>
        </w:tc>
        <w:tc>
          <w:tcPr>
            <w:tcW w:w="477" w:type="pct"/>
            <w:vMerge w:val="continue"/>
            <w:shd w:val="clear" w:color="auto" w:fill="auto"/>
            <w:noWrap/>
            <w:vAlign w:val="center"/>
          </w:tcPr>
          <w:p w14:paraId="73C4767A">
            <w:pPr>
              <w:rPr>
                <w:rFonts w:hint="eastAsia" w:ascii="宋体" w:hAnsi="宋体" w:eastAsia="宋体" w:cs="宋体"/>
                <w:sz w:val="24"/>
                <w:szCs w:val="24"/>
                <w:highlight w:val="none"/>
              </w:rPr>
            </w:pPr>
          </w:p>
        </w:tc>
        <w:tc>
          <w:tcPr>
            <w:tcW w:w="3546" w:type="pct"/>
            <w:shd w:val="clear" w:color="auto" w:fill="auto"/>
            <w:noWrap/>
            <w:vAlign w:val="center"/>
          </w:tcPr>
          <w:p w14:paraId="2C47BBE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9.非食品工作人员进入工作区域，应按上述要求穿着工作服、发网及鞋套等。</w:t>
            </w:r>
          </w:p>
        </w:tc>
        <w:tc>
          <w:tcPr>
            <w:tcW w:w="276" w:type="pct"/>
            <w:vMerge w:val="continue"/>
            <w:noWrap/>
            <w:vAlign w:val="center"/>
          </w:tcPr>
          <w:p w14:paraId="4C615B22">
            <w:pPr>
              <w:rPr>
                <w:rFonts w:hint="eastAsia" w:ascii="宋体" w:hAnsi="宋体" w:eastAsia="宋体" w:cs="宋体"/>
                <w:sz w:val="24"/>
                <w:szCs w:val="24"/>
                <w:highlight w:val="none"/>
              </w:rPr>
            </w:pPr>
          </w:p>
        </w:tc>
        <w:tc>
          <w:tcPr>
            <w:tcW w:w="224" w:type="pct"/>
            <w:vMerge w:val="continue"/>
            <w:noWrap/>
            <w:vAlign w:val="center"/>
          </w:tcPr>
          <w:p w14:paraId="660C792B">
            <w:pPr>
              <w:rPr>
                <w:rFonts w:hint="eastAsia" w:ascii="宋体" w:hAnsi="宋体" w:eastAsia="宋体" w:cs="宋体"/>
                <w:sz w:val="24"/>
                <w:szCs w:val="24"/>
                <w:highlight w:val="none"/>
              </w:rPr>
            </w:pPr>
          </w:p>
        </w:tc>
      </w:tr>
      <w:tr w14:paraId="417D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2E21EB99">
            <w:pPr>
              <w:rPr>
                <w:rFonts w:hint="eastAsia" w:ascii="宋体" w:hAnsi="宋体" w:eastAsia="宋体" w:cs="宋体"/>
                <w:sz w:val="24"/>
                <w:szCs w:val="24"/>
                <w:highlight w:val="none"/>
              </w:rPr>
            </w:pPr>
          </w:p>
        </w:tc>
        <w:tc>
          <w:tcPr>
            <w:tcW w:w="477" w:type="pct"/>
            <w:vMerge w:val="continue"/>
            <w:shd w:val="clear" w:color="auto" w:fill="auto"/>
            <w:noWrap/>
            <w:vAlign w:val="center"/>
          </w:tcPr>
          <w:p w14:paraId="39AF7DD7">
            <w:pPr>
              <w:rPr>
                <w:rFonts w:hint="eastAsia" w:ascii="宋体" w:hAnsi="宋体" w:eastAsia="宋体" w:cs="宋体"/>
                <w:sz w:val="24"/>
                <w:szCs w:val="24"/>
                <w:highlight w:val="none"/>
              </w:rPr>
            </w:pPr>
          </w:p>
        </w:tc>
        <w:tc>
          <w:tcPr>
            <w:tcW w:w="3546" w:type="pct"/>
            <w:shd w:val="clear" w:color="auto" w:fill="auto"/>
            <w:noWrap/>
            <w:vAlign w:val="center"/>
          </w:tcPr>
          <w:p w14:paraId="7227C83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10.应有充足的洗手液、纸巾及干手设施，并张贴正确的洗手程序。</w:t>
            </w:r>
          </w:p>
        </w:tc>
        <w:tc>
          <w:tcPr>
            <w:tcW w:w="276" w:type="pct"/>
            <w:vMerge w:val="continue"/>
            <w:noWrap/>
            <w:vAlign w:val="center"/>
          </w:tcPr>
          <w:p w14:paraId="62BE2066">
            <w:pPr>
              <w:rPr>
                <w:rFonts w:hint="eastAsia" w:ascii="宋体" w:hAnsi="宋体" w:eastAsia="宋体" w:cs="宋体"/>
                <w:sz w:val="24"/>
                <w:szCs w:val="24"/>
                <w:highlight w:val="none"/>
              </w:rPr>
            </w:pPr>
          </w:p>
        </w:tc>
        <w:tc>
          <w:tcPr>
            <w:tcW w:w="224" w:type="pct"/>
            <w:vMerge w:val="continue"/>
            <w:noWrap/>
            <w:vAlign w:val="center"/>
          </w:tcPr>
          <w:p w14:paraId="694C73E8">
            <w:pPr>
              <w:rPr>
                <w:rFonts w:hint="eastAsia" w:ascii="宋体" w:hAnsi="宋体" w:eastAsia="宋体" w:cs="宋体"/>
                <w:sz w:val="24"/>
                <w:szCs w:val="24"/>
                <w:highlight w:val="none"/>
              </w:rPr>
            </w:pPr>
          </w:p>
        </w:tc>
      </w:tr>
      <w:tr w14:paraId="08B8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74" w:type="pct"/>
            <w:vMerge w:val="continue"/>
            <w:shd w:val="clear" w:color="auto" w:fill="auto"/>
            <w:noWrap/>
            <w:vAlign w:val="center"/>
          </w:tcPr>
          <w:p w14:paraId="23FC7E3F">
            <w:pPr>
              <w:rPr>
                <w:rFonts w:hint="eastAsia" w:ascii="宋体" w:hAnsi="宋体" w:eastAsia="宋体" w:cs="宋体"/>
                <w:sz w:val="24"/>
                <w:szCs w:val="24"/>
                <w:highlight w:val="none"/>
              </w:rPr>
            </w:pPr>
          </w:p>
        </w:tc>
        <w:tc>
          <w:tcPr>
            <w:tcW w:w="477" w:type="pct"/>
            <w:vMerge w:val="continue"/>
            <w:shd w:val="clear" w:color="auto" w:fill="auto"/>
            <w:noWrap/>
            <w:vAlign w:val="center"/>
          </w:tcPr>
          <w:p w14:paraId="4BD133B3">
            <w:pPr>
              <w:rPr>
                <w:rFonts w:hint="eastAsia" w:ascii="宋体" w:hAnsi="宋体" w:eastAsia="宋体" w:cs="宋体"/>
                <w:sz w:val="24"/>
                <w:szCs w:val="24"/>
                <w:highlight w:val="none"/>
              </w:rPr>
            </w:pPr>
          </w:p>
        </w:tc>
        <w:tc>
          <w:tcPr>
            <w:tcW w:w="3546" w:type="pct"/>
            <w:shd w:val="clear" w:color="auto" w:fill="auto"/>
            <w:noWrap/>
            <w:vAlign w:val="center"/>
          </w:tcPr>
          <w:p w14:paraId="3B4ADDC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11.餐厅应指定虫害控制管理人员，负责与虫害控制活动，或与虫害控制外包方协调虫害控制活动。鼠笼、粘鼠板、灭蝇灯应定期检查，以确定虫害活动的新迹象，定期分析对虫害活动的趋势。</w:t>
            </w:r>
          </w:p>
        </w:tc>
        <w:tc>
          <w:tcPr>
            <w:tcW w:w="276" w:type="pct"/>
            <w:vMerge w:val="continue"/>
            <w:noWrap/>
            <w:vAlign w:val="center"/>
          </w:tcPr>
          <w:p w14:paraId="11BB08B7">
            <w:pPr>
              <w:rPr>
                <w:rFonts w:hint="eastAsia" w:ascii="宋体" w:hAnsi="宋体" w:eastAsia="宋体" w:cs="宋体"/>
                <w:sz w:val="24"/>
                <w:szCs w:val="24"/>
                <w:highlight w:val="none"/>
              </w:rPr>
            </w:pPr>
          </w:p>
        </w:tc>
        <w:tc>
          <w:tcPr>
            <w:tcW w:w="224" w:type="pct"/>
            <w:vMerge w:val="continue"/>
            <w:noWrap/>
            <w:vAlign w:val="center"/>
          </w:tcPr>
          <w:p w14:paraId="6F7B18CF">
            <w:pPr>
              <w:rPr>
                <w:rFonts w:hint="eastAsia" w:ascii="宋体" w:hAnsi="宋体" w:eastAsia="宋体" w:cs="宋体"/>
                <w:sz w:val="24"/>
                <w:szCs w:val="24"/>
                <w:highlight w:val="none"/>
              </w:rPr>
            </w:pPr>
          </w:p>
        </w:tc>
      </w:tr>
      <w:tr w14:paraId="3A96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5EF27C76">
            <w:pPr>
              <w:rPr>
                <w:rFonts w:hint="eastAsia" w:ascii="宋体" w:hAnsi="宋体" w:eastAsia="宋体" w:cs="宋体"/>
                <w:sz w:val="24"/>
                <w:szCs w:val="24"/>
                <w:highlight w:val="none"/>
              </w:rPr>
            </w:pPr>
          </w:p>
        </w:tc>
        <w:tc>
          <w:tcPr>
            <w:tcW w:w="477" w:type="pct"/>
            <w:vMerge w:val="continue"/>
            <w:shd w:val="clear" w:color="auto" w:fill="auto"/>
            <w:noWrap/>
            <w:vAlign w:val="center"/>
          </w:tcPr>
          <w:p w14:paraId="6594CAAB">
            <w:pPr>
              <w:rPr>
                <w:rFonts w:hint="eastAsia" w:ascii="宋体" w:hAnsi="宋体" w:eastAsia="宋体" w:cs="宋体"/>
                <w:sz w:val="24"/>
                <w:szCs w:val="24"/>
                <w:highlight w:val="none"/>
              </w:rPr>
            </w:pPr>
          </w:p>
        </w:tc>
        <w:tc>
          <w:tcPr>
            <w:tcW w:w="3546" w:type="pct"/>
            <w:shd w:val="clear" w:color="auto" w:fill="auto"/>
            <w:noWrap/>
            <w:vAlign w:val="center"/>
          </w:tcPr>
          <w:p w14:paraId="7DFCD7B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12.应有明确区分盛放化学品与食品的容器，且应独立分割存放，不得交叉存放、同区域存放、混放。</w:t>
            </w:r>
          </w:p>
        </w:tc>
        <w:tc>
          <w:tcPr>
            <w:tcW w:w="276" w:type="pct"/>
            <w:vMerge w:val="continue"/>
            <w:noWrap/>
            <w:vAlign w:val="center"/>
          </w:tcPr>
          <w:p w14:paraId="206D8CE6">
            <w:pPr>
              <w:rPr>
                <w:rFonts w:hint="eastAsia" w:ascii="宋体" w:hAnsi="宋体" w:eastAsia="宋体" w:cs="宋体"/>
                <w:sz w:val="24"/>
                <w:szCs w:val="24"/>
                <w:highlight w:val="none"/>
              </w:rPr>
            </w:pPr>
          </w:p>
        </w:tc>
        <w:tc>
          <w:tcPr>
            <w:tcW w:w="224" w:type="pct"/>
            <w:vMerge w:val="continue"/>
            <w:noWrap/>
            <w:vAlign w:val="center"/>
          </w:tcPr>
          <w:p w14:paraId="729C0255">
            <w:pPr>
              <w:rPr>
                <w:rFonts w:hint="eastAsia" w:ascii="宋体" w:hAnsi="宋体" w:eastAsia="宋体" w:cs="宋体"/>
                <w:sz w:val="24"/>
                <w:szCs w:val="24"/>
                <w:highlight w:val="none"/>
              </w:rPr>
            </w:pPr>
          </w:p>
        </w:tc>
      </w:tr>
      <w:tr w14:paraId="38D0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74" w:type="pct"/>
            <w:vMerge w:val="continue"/>
            <w:shd w:val="clear" w:color="auto" w:fill="auto"/>
            <w:noWrap/>
            <w:vAlign w:val="center"/>
          </w:tcPr>
          <w:p w14:paraId="0C34DEE1">
            <w:pPr>
              <w:rPr>
                <w:rFonts w:hint="eastAsia" w:ascii="宋体" w:hAnsi="宋体" w:eastAsia="宋体" w:cs="宋体"/>
                <w:sz w:val="24"/>
                <w:szCs w:val="24"/>
                <w:highlight w:val="none"/>
              </w:rPr>
            </w:pPr>
          </w:p>
        </w:tc>
        <w:tc>
          <w:tcPr>
            <w:tcW w:w="477" w:type="pct"/>
            <w:vMerge w:val="continue"/>
            <w:shd w:val="clear" w:color="auto" w:fill="auto"/>
            <w:noWrap/>
            <w:vAlign w:val="center"/>
          </w:tcPr>
          <w:p w14:paraId="180125C1">
            <w:pPr>
              <w:rPr>
                <w:rFonts w:hint="eastAsia" w:ascii="宋体" w:hAnsi="宋体" w:eastAsia="宋体" w:cs="宋体"/>
                <w:sz w:val="24"/>
                <w:szCs w:val="24"/>
                <w:highlight w:val="none"/>
              </w:rPr>
            </w:pPr>
          </w:p>
        </w:tc>
        <w:tc>
          <w:tcPr>
            <w:tcW w:w="3546" w:type="pct"/>
            <w:shd w:val="clear" w:color="auto" w:fill="auto"/>
            <w:noWrap/>
            <w:vAlign w:val="center"/>
          </w:tcPr>
          <w:p w14:paraId="0B4C38A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（发现违反上述规定，每次扣1分）</w:t>
            </w:r>
          </w:p>
        </w:tc>
        <w:tc>
          <w:tcPr>
            <w:tcW w:w="276" w:type="pct"/>
            <w:vMerge w:val="continue"/>
            <w:noWrap/>
            <w:vAlign w:val="center"/>
          </w:tcPr>
          <w:p w14:paraId="78A0FDD2">
            <w:pPr>
              <w:rPr>
                <w:rFonts w:hint="eastAsia" w:ascii="宋体" w:hAnsi="宋体" w:eastAsia="宋体" w:cs="宋体"/>
                <w:sz w:val="24"/>
                <w:szCs w:val="24"/>
                <w:highlight w:val="none"/>
              </w:rPr>
            </w:pPr>
          </w:p>
        </w:tc>
        <w:tc>
          <w:tcPr>
            <w:tcW w:w="224" w:type="pct"/>
            <w:vMerge w:val="continue"/>
            <w:noWrap/>
            <w:vAlign w:val="center"/>
          </w:tcPr>
          <w:p w14:paraId="128DC2C3">
            <w:pPr>
              <w:rPr>
                <w:rFonts w:hint="eastAsia" w:ascii="宋体" w:hAnsi="宋体" w:eastAsia="宋体" w:cs="宋体"/>
                <w:sz w:val="24"/>
                <w:szCs w:val="24"/>
                <w:highlight w:val="none"/>
              </w:rPr>
            </w:pPr>
          </w:p>
        </w:tc>
      </w:tr>
      <w:tr w14:paraId="36F5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restart"/>
            <w:shd w:val="clear" w:color="auto" w:fill="auto"/>
            <w:noWrap/>
            <w:vAlign w:val="center"/>
          </w:tcPr>
          <w:p w14:paraId="67F33721">
            <w:pP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质量标准（25）</w:t>
            </w:r>
          </w:p>
        </w:tc>
        <w:tc>
          <w:tcPr>
            <w:tcW w:w="477" w:type="pct"/>
            <w:vMerge w:val="restart"/>
            <w:shd w:val="clear" w:color="auto" w:fill="auto"/>
            <w:noWrap/>
            <w:vAlign w:val="center"/>
          </w:tcPr>
          <w:p w14:paraId="6443A8E7">
            <w:pPr>
              <w:rPr>
                <w:rFonts w:hint="eastAsia" w:ascii="宋体" w:hAnsi="宋体" w:eastAsia="宋体" w:cs="宋体"/>
                <w:sz w:val="24"/>
                <w:szCs w:val="24"/>
                <w:highlight w:val="none"/>
              </w:rPr>
            </w:pPr>
            <w:r>
              <w:rPr>
                <w:rFonts w:hint="eastAsia" w:ascii="宋体" w:hAnsi="宋体" w:eastAsia="宋体" w:cs="宋体"/>
                <w:sz w:val="24"/>
                <w:szCs w:val="24"/>
                <w:highlight w:val="none"/>
              </w:rPr>
              <w:t>出品质量</w:t>
            </w:r>
          </w:p>
        </w:tc>
        <w:tc>
          <w:tcPr>
            <w:tcW w:w="3546" w:type="pct"/>
            <w:shd w:val="clear" w:color="auto" w:fill="auto"/>
            <w:noWrap/>
          </w:tcPr>
          <w:p w14:paraId="4E509A30">
            <w:pPr>
              <w:rPr>
                <w:rFonts w:hint="eastAsia" w:ascii="宋体" w:hAnsi="宋体" w:eastAsia="宋体" w:cs="宋体"/>
                <w:sz w:val="24"/>
                <w:szCs w:val="24"/>
                <w:highlight w:val="none"/>
              </w:rPr>
            </w:pPr>
            <w:r>
              <w:rPr>
                <w:rFonts w:hint="eastAsia" w:ascii="宋体" w:hAnsi="宋体" w:eastAsia="宋体" w:cs="宋体"/>
                <w:sz w:val="24"/>
                <w:szCs w:val="24"/>
                <w:highlight w:val="none"/>
              </w:rPr>
              <w:t>1.早餐、中餐、晚餐菜式每少1款，每次每款扣1分。</w:t>
            </w:r>
          </w:p>
        </w:tc>
        <w:tc>
          <w:tcPr>
            <w:tcW w:w="276" w:type="pct"/>
            <w:vMerge w:val="restart"/>
            <w:shd w:val="clear" w:color="auto" w:fill="auto"/>
            <w:noWrap/>
            <w:vAlign w:val="center"/>
          </w:tcPr>
          <w:p w14:paraId="5A0AD365">
            <w:pP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224" w:type="pct"/>
            <w:vMerge w:val="restart"/>
            <w:shd w:val="clear" w:color="auto" w:fill="auto"/>
            <w:noWrap/>
          </w:tcPr>
          <w:p w14:paraId="7A890B3D">
            <w:pPr>
              <w:rPr>
                <w:rFonts w:hint="eastAsia" w:ascii="宋体" w:hAnsi="宋体" w:eastAsia="宋体" w:cs="宋体"/>
                <w:sz w:val="24"/>
                <w:szCs w:val="24"/>
                <w:highlight w:val="none"/>
              </w:rPr>
            </w:pPr>
          </w:p>
        </w:tc>
      </w:tr>
      <w:tr w14:paraId="709B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06BD8A5E">
            <w:pPr>
              <w:rPr>
                <w:rFonts w:hint="eastAsia" w:ascii="宋体" w:hAnsi="宋体" w:eastAsia="宋体" w:cs="宋体"/>
                <w:sz w:val="24"/>
                <w:szCs w:val="24"/>
                <w:highlight w:val="none"/>
              </w:rPr>
            </w:pPr>
          </w:p>
        </w:tc>
        <w:tc>
          <w:tcPr>
            <w:tcW w:w="477" w:type="pct"/>
            <w:vMerge w:val="continue"/>
            <w:shd w:val="clear" w:color="auto" w:fill="auto"/>
            <w:noWrap/>
            <w:vAlign w:val="center"/>
          </w:tcPr>
          <w:p w14:paraId="6ACA0241">
            <w:pPr>
              <w:rPr>
                <w:rFonts w:hint="eastAsia" w:ascii="宋体" w:hAnsi="宋体" w:eastAsia="宋体" w:cs="宋体"/>
                <w:sz w:val="24"/>
                <w:szCs w:val="24"/>
                <w:highlight w:val="none"/>
              </w:rPr>
            </w:pPr>
          </w:p>
        </w:tc>
        <w:tc>
          <w:tcPr>
            <w:tcW w:w="3546" w:type="pct"/>
            <w:shd w:val="clear" w:color="auto" w:fill="auto"/>
            <w:noWrap/>
          </w:tcPr>
          <w:p w14:paraId="5FB91955">
            <w:pPr>
              <w:rPr>
                <w:rFonts w:hint="eastAsia" w:ascii="宋体" w:hAnsi="宋体" w:eastAsia="宋体" w:cs="宋体"/>
                <w:sz w:val="24"/>
                <w:szCs w:val="24"/>
                <w:highlight w:val="none"/>
              </w:rPr>
            </w:pPr>
            <w:r>
              <w:rPr>
                <w:rFonts w:hint="eastAsia" w:ascii="宋体" w:hAnsi="宋体" w:eastAsia="宋体" w:cs="宋体"/>
                <w:sz w:val="24"/>
                <w:szCs w:val="24"/>
                <w:highlight w:val="none"/>
              </w:rPr>
              <w:t>2.主厨应每月推出4款以上新菜式，每少一款扣1分。</w:t>
            </w:r>
          </w:p>
        </w:tc>
        <w:tc>
          <w:tcPr>
            <w:tcW w:w="276" w:type="pct"/>
            <w:vMerge w:val="continue"/>
            <w:noWrap/>
            <w:vAlign w:val="center"/>
          </w:tcPr>
          <w:p w14:paraId="6F4E208A">
            <w:pPr>
              <w:rPr>
                <w:rFonts w:hint="eastAsia" w:ascii="宋体" w:hAnsi="宋体" w:eastAsia="宋体" w:cs="宋体"/>
                <w:sz w:val="24"/>
                <w:szCs w:val="24"/>
                <w:highlight w:val="none"/>
              </w:rPr>
            </w:pPr>
          </w:p>
        </w:tc>
        <w:tc>
          <w:tcPr>
            <w:tcW w:w="224" w:type="pct"/>
            <w:vMerge w:val="continue"/>
            <w:noWrap/>
            <w:vAlign w:val="center"/>
          </w:tcPr>
          <w:p w14:paraId="55C1B313">
            <w:pPr>
              <w:rPr>
                <w:rFonts w:hint="eastAsia" w:ascii="宋体" w:hAnsi="宋体" w:eastAsia="宋体" w:cs="宋体"/>
                <w:sz w:val="24"/>
                <w:szCs w:val="24"/>
                <w:highlight w:val="none"/>
              </w:rPr>
            </w:pPr>
          </w:p>
        </w:tc>
      </w:tr>
      <w:tr w14:paraId="2794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79109AB8">
            <w:pPr>
              <w:rPr>
                <w:rFonts w:hint="eastAsia" w:ascii="宋体" w:hAnsi="宋体" w:eastAsia="宋体" w:cs="宋体"/>
                <w:sz w:val="24"/>
                <w:szCs w:val="24"/>
                <w:highlight w:val="none"/>
              </w:rPr>
            </w:pPr>
          </w:p>
        </w:tc>
        <w:tc>
          <w:tcPr>
            <w:tcW w:w="477" w:type="pct"/>
            <w:vMerge w:val="continue"/>
            <w:shd w:val="clear" w:color="auto" w:fill="auto"/>
            <w:noWrap/>
            <w:vAlign w:val="center"/>
          </w:tcPr>
          <w:p w14:paraId="15C0A2D3">
            <w:pPr>
              <w:rPr>
                <w:rFonts w:hint="eastAsia" w:ascii="宋体" w:hAnsi="宋体" w:eastAsia="宋体" w:cs="宋体"/>
                <w:sz w:val="24"/>
                <w:szCs w:val="24"/>
                <w:highlight w:val="none"/>
              </w:rPr>
            </w:pPr>
          </w:p>
        </w:tc>
        <w:tc>
          <w:tcPr>
            <w:tcW w:w="3546" w:type="pct"/>
            <w:shd w:val="clear" w:color="auto" w:fill="auto"/>
            <w:noWrap/>
          </w:tcPr>
          <w:p w14:paraId="4439018F">
            <w:pPr>
              <w:rPr>
                <w:rFonts w:hint="eastAsia" w:ascii="宋体" w:hAnsi="宋体" w:eastAsia="宋体" w:cs="宋体"/>
                <w:sz w:val="24"/>
                <w:szCs w:val="24"/>
                <w:highlight w:val="none"/>
              </w:rPr>
            </w:pPr>
            <w:r>
              <w:rPr>
                <w:rFonts w:hint="eastAsia" w:ascii="宋体" w:hAnsi="宋体" w:eastAsia="宋体" w:cs="宋体"/>
                <w:sz w:val="24"/>
                <w:szCs w:val="24"/>
                <w:highlight w:val="none"/>
              </w:rPr>
              <w:t>3.点心组长每月推出2款以上新面点，每少一款扣1分。</w:t>
            </w:r>
          </w:p>
        </w:tc>
        <w:tc>
          <w:tcPr>
            <w:tcW w:w="276" w:type="pct"/>
            <w:vMerge w:val="continue"/>
            <w:noWrap/>
            <w:vAlign w:val="center"/>
          </w:tcPr>
          <w:p w14:paraId="4A15B9C4">
            <w:pPr>
              <w:rPr>
                <w:rFonts w:hint="eastAsia" w:ascii="宋体" w:hAnsi="宋体" w:eastAsia="宋体" w:cs="宋体"/>
                <w:sz w:val="24"/>
                <w:szCs w:val="24"/>
                <w:highlight w:val="none"/>
              </w:rPr>
            </w:pPr>
          </w:p>
        </w:tc>
        <w:tc>
          <w:tcPr>
            <w:tcW w:w="224" w:type="pct"/>
            <w:vMerge w:val="continue"/>
            <w:noWrap/>
            <w:vAlign w:val="center"/>
          </w:tcPr>
          <w:p w14:paraId="47AA2274">
            <w:pPr>
              <w:rPr>
                <w:rFonts w:hint="eastAsia" w:ascii="宋体" w:hAnsi="宋体" w:eastAsia="宋体" w:cs="宋体"/>
                <w:sz w:val="24"/>
                <w:szCs w:val="24"/>
                <w:highlight w:val="none"/>
              </w:rPr>
            </w:pPr>
          </w:p>
        </w:tc>
      </w:tr>
      <w:tr w14:paraId="7978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3BAE9427">
            <w:pPr>
              <w:rPr>
                <w:rFonts w:hint="eastAsia" w:ascii="宋体" w:hAnsi="宋体" w:eastAsia="宋体" w:cs="宋体"/>
                <w:sz w:val="24"/>
                <w:szCs w:val="24"/>
                <w:highlight w:val="none"/>
              </w:rPr>
            </w:pPr>
          </w:p>
        </w:tc>
        <w:tc>
          <w:tcPr>
            <w:tcW w:w="477" w:type="pct"/>
            <w:vMerge w:val="continue"/>
            <w:shd w:val="clear" w:color="auto" w:fill="auto"/>
            <w:noWrap/>
            <w:vAlign w:val="center"/>
          </w:tcPr>
          <w:p w14:paraId="0DB50B1D">
            <w:pPr>
              <w:rPr>
                <w:rFonts w:hint="eastAsia" w:ascii="宋体" w:hAnsi="宋体" w:eastAsia="宋体" w:cs="宋体"/>
                <w:sz w:val="24"/>
                <w:szCs w:val="24"/>
                <w:highlight w:val="none"/>
              </w:rPr>
            </w:pPr>
          </w:p>
        </w:tc>
        <w:tc>
          <w:tcPr>
            <w:tcW w:w="3546" w:type="pct"/>
            <w:shd w:val="clear" w:color="auto" w:fill="auto"/>
            <w:noWrap/>
          </w:tcPr>
          <w:p w14:paraId="147E4205">
            <w:pPr>
              <w:rPr>
                <w:rFonts w:hint="eastAsia" w:ascii="宋体" w:hAnsi="宋体" w:eastAsia="宋体" w:cs="宋体"/>
                <w:sz w:val="24"/>
                <w:szCs w:val="24"/>
                <w:highlight w:val="none"/>
              </w:rPr>
            </w:pPr>
            <w:r>
              <w:rPr>
                <w:rFonts w:hint="eastAsia" w:ascii="宋体" w:hAnsi="宋体" w:eastAsia="宋体" w:cs="宋体"/>
                <w:sz w:val="24"/>
                <w:szCs w:val="24"/>
                <w:highlight w:val="none"/>
              </w:rPr>
              <w:t>4.新菜式应提前一周做出样品给甲方试尝，并经甲方同意后方能出餐，如未经甲方同意私自出餐，每次扣5分。</w:t>
            </w:r>
          </w:p>
        </w:tc>
        <w:tc>
          <w:tcPr>
            <w:tcW w:w="276" w:type="pct"/>
            <w:vMerge w:val="continue"/>
            <w:noWrap/>
            <w:vAlign w:val="center"/>
          </w:tcPr>
          <w:p w14:paraId="300733E1">
            <w:pPr>
              <w:rPr>
                <w:rFonts w:hint="eastAsia" w:ascii="宋体" w:hAnsi="宋体" w:eastAsia="宋体" w:cs="宋体"/>
                <w:sz w:val="24"/>
                <w:szCs w:val="24"/>
                <w:highlight w:val="none"/>
              </w:rPr>
            </w:pPr>
          </w:p>
        </w:tc>
        <w:tc>
          <w:tcPr>
            <w:tcW w:w="224" w:type="pct"/>
            <w:vMerge w:val="continue"/>
            <w:noWrap/>
            <w:vAlign w:val="center"/>
          </w:tcPr>
          <w:p w14:paraId="535E9F9E">
            <w:pPr>
              <w:rPr>
                <w:rFonts w:hint="eastAsia" w:ascii="宋体" w:hAnsi="宋体" w:eastAsia="宋体" w:cs="宋体"/>
                <w:sz w:val="24"/>
                <w:szCs w:val="24"/>
                <w:highlight w:val="none"/>
              </w:rPr>
            </w:pPr>
          </w:p>
        </w:tc>
      </w:tr>
      <w:tr w14:paraId="1138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4350BBA7">
            <w:pPr>
              <w:rPr>
                <w:rFonts w:hint="eastAsia" w:ascii="宋体" w:hAnsi="宋体" w:eastAsia="宋体" w:cs="宋体"/>
                <w:sz w:val="24"/>
                <w:szCs w:val="24"/>
                <w:highlight w:val="none"/>
              </w:rPr>
            </w:pPr>
          </w:p>
        </w:tc>
        <w:tc>
          <w:tcPr>
            <w:tcW w:w="477" w:type="pct"/>
            <w:vMerge w:val="continue"/>
            <w:shd w:val="clear" w:color="auto" w:fill="auto"/>
            <w:noWrap/>
            <w:vAlign w:val="center"/>
          </w:tcPr>
          <w:p w14:paraId="243DC98C">
            <w:pPr>
              <w:rPr>
                <w:rFonts w:hint="eastAsia" w:ascii="宋体" w:hAnsi="宋体" w:eastAsia="宋体" w:cs="宋体"/>
                <w:sz w:val="24"/>
                <w:szCs w:val="24"/>
                <w:highlight w:val="none"/>
              </w:rPr>
            </w:pPr>
          </w:p>
        </w:tc>
        <w:tc>
          <w:tcPr>
            <w:tcW w:w="3546" w:type="pct"/>
            <w:shd w:val="clear" w:color="auto" w:fill="auto"/>
            <w:noWrap/>
          </w:tcPr>
          <w:p w14:paraId="161900E4">
            <w:pPr>
              <w:rPr>
                <w:rFonts w:hint="eastAsia" w:ascii="宋体" w:hAnsi="宋体" w:eastAsia="宋体" w:cs="宋体"/>
                <w:sz w:val="24"/>
                <w:szCs w:val="24"/>
                <w:highlight w:val="none"/>
              </w:rPr>
            </w:pPr>
            <w:r>
              <w:rPr>
                <w:rFonts w:hint="eastAsia" w:ascii="宋体" w:hAnsi="宋体" w:eastAsia="宋体" w:cs="宋体"/>
                <w:sz w:val="24"/>
                <w:szCs w:val="24"/>
                <w:highlight w:val="none"/>
              </w:rPr>
              <w:t>5.应每月按规定更换菜单，如延迟、无更换，每次扣5分。</w:t>
            </w:r>
          </w:p>
        </w:tc>
        <w:tc>
          <w:tcPr>
            <w:tcW w:w="276" w:type="pct"/>
            <w:vMerge w:val="continue"/>
            <w:noWrap/>
            <w:vAlign w:val="center"/>
          </w:tcPr>
          <w:p w14:paraId="764BF87A">
            <w:pPr>
              <w:rPr>
                <w:rFonts w:hint="eastAsia" w:ascii="宋体" w:hAnsi="宋体" w:eastAsia="宋体" w:cs="宋体"/>
                <w:sz w:val="24"/>
                <w:szCs w:val="24"/>
                <w:highlight w:val="none"/>
              </w:rPr>
            </w:pPr>
          </w:p>
        </w:tc>
        <w:tc>
          <w:tcPr>
            <w:tcW w:w="224" w:type="pct"/>
            <w:vMerge w:val="continue"/>
            <w:noWrap/>
            <w:vAlign w:val="center"/>
          </w:tcPr>
          <w:p w14:paraId="56D9A156">
            <w:pPr>
              <w:rPr>
                <w:rFonts w:hint="eastAsia" w:ascii="宋体" w:hAnsi="宋体" w:eastAsia="宋体" w:cs="宋体"/>
                <w:sz w:val="24"/>
                <w:szCs w:val="24"/>
                <w:highlight w:val="none"/>
              </w:rPr>
            </w:pPr>
          </w:p>
        </w:tc>
      </w:tr>
      <w:tr w14:paraId="50A6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0733EB87">
            <w:pPr>
              <w:rPr>
                <w:rFonts w:hint="eastAsia" w:ascii="宋体" w:hAnsi="宋体" w:eastAsia="宋体" w:cs="宋体"/>
                <w:sz w:val="24"/>
                <w:szCs w:val="24"/>
                <w:highlight w:val="none"/>
              </w:rPr>
            </w:pPr>
          </w:p>
        </w:tc>
        <w:tc>
          <w:tcPr>
            <w:tcW w:w="477" w:type="pct"/>
            <w:vMerge w:val="continue"/>
            <w:shd w:val="clear" w:color="auto" w:fill="auto"/>
            <w:noWrap/>
            <w:vAlign w:val="center"/>
          </w:tcPr>
          <w:p w14:paraId="67C75751">
            <w:pPr>
              <w:rPr>
                <w:rFonts w:hint="eastAsia" w:ascii="宋体" w:hAnsi="宋体" w:eastAsia="宋体" w:cs="宋体"/>
                <w:sz w:val="24"/>
                <w:szCs w:val="24"/>
                <w:highlight w:val="none"/>
              </w:rPr>
            </w:pPr>
          </w:p>
        </w:tc>
        <w:tc>
          <w:tcPr>
            <w:tcW w:w="3546" w:type="pct"/>
            <w:shd w:val="clear" w:color="auto" w:fill="auto"/>
            <w:noWrap/>
          </w:tcPr>
          <w:p w14:paraId="5F1EECFA">
            <w:pPr>
              <w:rPr>
                <w:rFonts w:hint="eastAsia" w:ascii="宋体" w:hAnsi="宋体" w:eastAsia="宋体" w:cs="宋体"/>
                <w:sz w:val="24"/>
                <w:szCs w:val="24"/>
                <w:highlight w:val="none"/>
              </w:rPr>
            </w:pPr>
            <w:r>
              <w:rPr>
                <w:rFonts w:hint="eastAsia" w:ascii="宋体" w:hAnsi="宋体" w:eastAsia="宋体" w:cs="宋体"/>
                <w:sz w:val="24"/>
                <w:szCs w:val="24"/>
                <w:highlight w:val="none"/>
              </w:rPr>
              <w:t>6.菜品应不糊、不夹生，软硬适当，如出现过熟、过硬等现象，每次扣1分。</w:t>
            </w:r>
          </w:p>
        </w:tc>
        <w:tc>
          <w:tcPr>
            <w:tcW w:w="276" w:type="pct"/>
            <w:vMerge w:val="continue"/>
            <w:noWrap/>
            <w:vAlign w:val="center"/>
          </w:tcPr>
          <w:p w14:paraId="68D85D96">
            <w:pPr>
              <w:rPr>
                <w:rFonts w:hint="eastAsia" w:ascii="宋体" w:hAnsi="宋体" w:eastAsia="宋体" w:cs="宋体"/>
                <w:sz w:val="24"/>
                <w:szCs w:val="24"/>
                <w:highlight w:val="none"/>
              </w:rPr>
            </w:pPr>
          </w:p>
        </w:tc>
        <w:tc>
          <w:tcPr>
            <w:tcW w:w="224" w:type="pct"/>
            <w:vMerge w:val="continue"/>
            <w:noWrap/>
            <w:vAlign w:val="center"/>
          </w:tcPr>
          <w:p w14:paraId="4A6D2BB0">
            <w:pPr>
              <w:rPr>
                <w:rFonts w:hint="eastAsia" w:ascii="宋体" w:hAnsi="宋体" w:eastAsia="宋体" w:cs="宋体"/>
                <w:sz w:val="24"/>
                <w:szCs w:val="24"/>
                <w:highlight w:val="none"/>
              </w:rPr>
            </w:pPr>
          </w:p>
        </w:tc>
      </w:tr>
      <w:tr w14:paraId="297B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4E6F94B7">
            <w:pPr>
              <w:rPr>
                <w:rFonts w:hint="eastAsia" w:ascii="宋体" w:hAnsi="宋体" w:eastAsia="宋体" w:cs="宋体"/>
                <w:sz w:val="24"/>
                <w:szCs w:val="24"/>
                <w:highlight w:val="none"/>
              </w:rPr>
            </w:pPr>
          </w:p>
        </w:tc>
        <w:tc>
          <w:tcPr>
            <w:tcW w:w="477" w:type="pct"/>
            <w:vMerge w:val="continue"/>
            <w:shd w:val="clear" w:color="auto" w:fill="auto"/>
            <w:noWrap/>
            <w:vAlign w:val="center"/>
          </w:tcPr>
          <w:p w14:paraId="41DD4F94">
            <w:pPr>
              <w:rPr>
                <w:rFonts w:hint="eastAsia" w:ascii="宋体" w:hAnsi="宋体" w:eastAsia="宋体" w:cs="宋体"/>
                <w:sz w:val="24"/>
                <w:szCs w:val="24"/>
                <w:highlight w:val="none"/>
              </w:rPr>
            </w:pPr>
          </w:p>
        </w:tc>
        <w:tc>
          <w:tcPr>
            <w:tcW w:w="3546" w:type="pct"/>
            <w:shd w:val="clear" w:color="auto" w:fill="auto"/>
            <w:noWrap/>
          </w:tcPr>
          <w:p w14:paraId="75158389">
            <w:pPr>
              <w:rPr>
                <w:rFonts w:hint="eastAsia" w:ascii="宋体" w:hAnsi="宋体" w:eastAsia="宋体" w:cs="宋体"/>
                <w:sz w:val="24"/>
                <w:szCs w:val="24"/>
                <w:highlight w:val="none"/>
              </w:rPr>
            </w:pPr>
            <w:r>
              <w:rPr>
                <w:rFonts w:hint="eastAsia" w:ascii="宋体" w:hAnsi="宋体" w:eastAsia="宋体" w:cs="宋体"/>
                <w:sz w:val="24"/>
                <w:szCs w:val="24"/>
                <w:highlight w:val="none"/>
              </w:rPr>
              <w:t>7.菜品不得出现未熟、半熟、未熟透等现象，每次扣1分。</w:t>
            </w:r>
          </w:p>
        </w:tc>
        <w:tc>
          <w:tcPr>
            <w:tcW w:w="276" w:type="pct"/>
            <w:vMerge w:val="continue"/>
            <w:noWrap/>
            <w:vAlign w:val="center"/>
          </w:tcPr>
          <w:p w14:paraId="5A23A8A1">
            <w:pPr>
              <w:rPr>
                <w:rFonts w:hint="eastAsia" w:ascii="宋体" w:hAnsi="宋体" w:eastAsia="宋体" w:cs="宋体"/>
                <w:sz w:val="24"/>
                <w:szCs w:val="24"/>
                <w:highlight w:val="none"/>
              </w:rPr>
            </w:pPr>
          </w:p>
        </w:tc>
        <w:tc>
          <w:tcPr>
            <w:tcW w:w="224" w:type="pct"/>
            <w:vMerge w:val="continue"/>
            <w:noWrap/>
            <w:vAlign w:val="center"/>
          </w:tcPr>
          <w:p w14:paraId="25DD6197">
            <w:pPr>
              <w:rPr>
                <w:rFonts w:hint="eastAsia" w:ascii="宋体" w:hAnsi="宋体" w:eastAsia="宋体" w:cs="宋体"/>
                <w:sz w:val="24"/>
                <w:szCs w:val="24"/>
                <w:highlight w:val="none"/>
              </w:rPr>
            </w:pPr>
          </w:p>
        </w:tc>
      </w:tr>
      <w:tr w14:paraId="741C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474" w:type="pct"/>
            <w:vMerge w:val="continue"/>
            <w:shd w:val="clear" w:color="auto" w:fill="auto"/>
            <w:noWrap/>
            <w:vAlign w:val="center"/>
          </w:tcPr>
          <w:p w14:paraId="5F49B861">
            <w:pPr>
              <w:rPr>
                <w:rFonts w:hint="eastAsia" w:ascii="宋体" w:hAnsi="宋体" w:eastAsia="宋体" w:cs="宋体"/>
                <w:sz w:val="24"/>
                <w:szCs w:val="24"/>
                <w:highlight w:val="none"/>
              </w:rPr>
            </w:pPr>
          </w:p>
        </w:tc>
        <w:tc>
          <w:tcPr>
            <w:tcW w:w="477" w:type="pct"/>
            <w:vMerge w:val="continue"/>
            <w:shd w:val="clear" w:color="auto" w:fill="auto"/>
            <w:noWrap/>
            <w:vAlign w:val="center"/>
          </w:tcPr>
          <w:p w14:paraId="0B2CA04B">
            <w:pPr>
              <w:rPr>
                <w:rFonts w:hint="eastAsia" w:ascii="宋体" w:hAnsi="宋体" w:eastAsia="宋体" w:cs="宋体"/>
                <w:sz w:val="24"/>
                <w:szCs w:val="24"/>
                <w:highlight w:val="none"/>
              </w:rPr>
            </w:pPr>
          </w:p>
        </w:tc>
        <w:tc>
          <w:tcPr>
            <w:tcW w:w="3546" w:type="pct"/>
            <w:shd w:val="clear" w:color="auto" w:fill="auto"/>
            <w:noWrap/>
          </w:tcPr>
          <w:p w14:paraId="129655CA">
            <w:pPr>
              <w:rPr>
                <w:rFonts w:hint="eastAsia" w:ascii="宋体" w:hAnsi="宋体" w:eastAsia="宋体" w:cs="宋体"/>
                <w:sz w:val="24"/>
                <w:szCs w:val="24"/>
                <w:highlight w:val="none"/>
              </w:rPr>
            </w:pPr>
            <w:r>
              <w:rPr>
                <w:rFonts w:hint="eastAsia" w:ascii="宋体" w:hAnsi="宋体" w:eastAsia="宋体" w:cs="宋体"/>
                <w:sz w:val="24"/>
                <w:szCs w:val="24"/>
                <w:highlight w:val="none"/>
              </w:rPr>
              <w:t>8.菜品应色香味俱全，原料新鲜。尤其是海鲜菜肴，口味避免过重，不能用调料、大料的味道压住食材本身的味道。如该菜式有5人或以上反馈口味避免过重（如过咸、过辣、过酸、过甜、过苦更不允许有异味腥、膻、臭味等），每次扣1分。</w:t>
            </w:r>
          </w:p>
        </w:tc>
        <w:tc>
          <w:tcPr>
            <w:tcW w:w="276" w:type="pct"/>
            <w:vMerge w:val="continue"/>
            <w:noWrap/>
            <w:vAlign w:val="center"/>
          </w:tcPr>
          <w:p w14:paraId="58319C0D">
            <w:pPr>
              <w:rPr>
                <w:rFonts w:hint="eastAsia" w:ascii="宋体" w:hAnsi="宋体" w:eastAsia="宋体" w:cs="宋体"/>
                <w:sz w:val="24"/>
                <w:szCs w:val="24"/>
                <w:highlight w:val="none"/>
              </w:rPr>
            </w:pPr>
          </w:p>
        </w:tc>
        <w:tc>
          <w:tcPr>
            <w:tcW w:w="224" w:type="pct"/>
            <w:vMerge w:val="continue"/>
            <w:noWrap/>
            <w:vAlign w:val="center"/>
          </w:tcPr>
          <w:p w14:paraId="655913B4">
            <w:pPr>
              <w:rPr>
                <w:rFonts w:hint="eastAsia" w:ascii="宋体" w:hAnsi="宋体" w:eastAsia="宋体" w:cs="宋体"/>
                <w:sz w:val="24"/>
                <w:szCs w:val="24"/>
                <w:highlight w:val="none"/>
              </w:rPr>
            </w:pPr>
          </w:p>
        </w:tc>
      </w:tr>
      <w:tr w14:paraId="7837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3A6B01EE">
            <w:pPr>
              <w:rPr>
                <w:rFonts w:hint="eastAsia" w:ascii="宋体" w:hAnsi="宋体" w:eastAsia="宋体" w:cs="宋体"/>
                <w:sz w:val="24"/>
                <w:szCs w:val="24"/>
                <w:highlight w:val="none"/>
              </w:rPr>
            </w:pPr>
          </w:p>
        </w:tc>
        <w:tc>
          <w:tcPr>
            <w:tcW w:w="477" w:type="pct"/>
            <w:vMerge w:val="continue"/>
            <w:shd w:val="clear" w:color="auto" w:fill="auto"/>
            <w:noWrap/>
            <w:vAlign w:val="center"/>
          </w:tcPr>
          <w:p w14:paraId="2C82092B">
            <w:pPr>
              <w:rPr>
                <w:rFonts w:hint="eastAsia" w:ascii="宋体" w:hAnsi="宋体" w:eastAsia="宋体" w:cs="宋体"/>
                <w:sz w:val="24"/>
                <w:szCs w:val="24"/>
                <w:highlight w:val="none"/>
              </w:rPr>
            </w:pPr>
          </w:p>
        </w:tc>
        <w:tc>
          <w:tcPr>
            <w:tcW w:w="3546" w:type="pct"/>
            <w:shd w:val="clear" w:color="auto" w:fill="auto"/>
            <w:noWrap/>
          </w:tcPr>
          <w:p w14:paraId="7968DCFD">
            <w:pPr>
              <w:rPr>
                <w:rFonts w:hint="eastAsia" w:ascii="宋体" w:hAnsi="宋体" w:eastAsia="宋体" w:cs="宋体"/>
                <w:sz w:val="24"/>
                <w:szCs w:val="24"/>
                <w:highlight w:val="none"/>
              </w:rPr>
            </w:pPr>
            <w:r>
              <w:rPr>
                <w:rFonts w:hint="eastAsia" w:ascii="宋体" w:hAnsi="宋体" w:eastAsia="宋体" w:cs="宋体"/>
                <w:sz w:val="24"/>
                <w:szCs w:val="24"/>
                <w:highlight w:val="none"/>
              </w:rPr>
              <w:t>9.严格控制松肉粉、食粉的用量。严禁使用亚硝酸钠等化学原料，每次发现扣5分。</w:t>
            </w:r>
          </w:p>
        </w:tc>
        <w:tc>
          <w:tcPr>
            <w:tcW w:w="276" w:type="pct"/>
            <w:vMerge w:val="continue"/>
            <w:noWrap/>
            <w:vAlign w:val="center"/>
          </w:tcPr>
          <w:p w14:paraId="56B00BCB">
            <w:pPr>
              <w:rPr>
                <w:rFonts w:hint="eastAsia" w:ascii="宋体" w:hAnsi="宋体" w:eastAsia="宋体" w:cs="宋体"/>
                <w:sz w:val="24"/>
                <w:szCs w:val="24"/>
                <w:highlight w:val="none"/>
              </w:rPr>
            </w:pPr>
          </w:p>
        </w:tc>
        <w:tc>
          <w:tcPr>
            <w:tcW w:w="224" w:type="pct"/>
            <w:vMerge w:val="continue"/>
            <w:noWrap/>
            <w:vAlign w:val="center"/>
          </w:tcPr>
          <w:p w14:paraId="249061D9">
            <w:pPr>
              <w:rPr>
                <w:rFonts w:hint="eastAsia" w:ascii="宋体" w:hAnsi="宋体" w:eastAsia="宋体" w:cs="宋体"/>
                <w:sz w:val="24"/>
                <w:szCs w:val="24"/>
                <w:highlight w:val="none"/>
              </w:rPr>
            </w:pPr>
          </w:p>
        </w:tc>
      </w:tr>
      <w:tr w14:paraId="5C61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74" w:type="pct"/>
            <w:vMerge w:val="continue"/>
            <w:shd w:val="clear" w:color="auto" w:fill="auto"/>
            <w:noWrap/>
            <w:vAlign w:val="center"/>
          </w:tcPr>
          <w:p w14:paraId="397686DA">
            <w:pPr>
              <w:rPr>
                <w:rFonts w:hint="eastAsia" w:ascii="宋体" w:hAnsi="宋体" w:eastAsia="宋体" w:cs="宋体"/>
                <w:sz w:val="24"/>
                <w:szCs w:val="24"/>
                <w:highlight w:val="none"/>
              </w:rPr>
            </w:pPr>
          </w:p>
        </w:tc>
        <w:tc>
          <w:tcPr>
            <w:tcW w:w="477" w:type="pct"/>
            <w:vMerge w:val="continue"/>
            <w:shd w:val="clear" w:color="auto" w:fill="auto"/>
            <w:noWrap/>
            <w:vAlign w:val="center"/>
          </w:tcPr>
          <w:p w14:paraId="7206E4C3">
            <w:pPr>
              <w:rPr>
                <w:rFonts w:hint="eastAsia" w:ascii="宋体" w:hAnsi="宋体" w:eastAsia="宋体" w:cs="宋体"/>
                <w:sz w:val="24"/>
                <w:szCs w:val="24"/>
                <w:highlight w:val="none"/>
              </w:rPr>
            </w:pPr>
          </w:p>
        </w:tc>
        <w:tc>
          <w:tcPr>
            <w:tcW w:w="3546" w:type="pct"/>
            <w:shd w:val="clear" w:color="auto" w:fill="auto"/>
            <w:noWrap/>
          </w:tcPr>
          <w:p w14:paraId="76BA2B88">
            <w:pPr>
              <w:rPr>
                <w:rFonts w:hint="eastAsia" w:ascii="宋体" w:hAnsi="宋体" w:eastAsia="宋体" w:cs="宋体"/>
                <w:sz w:val="24"/>
                <w:szCs w:val="24"/>
                <w:highlight w:val="none"/>
              </w:rPr>
            </w:pPr>
            <w:r>
              <w:rPr>
                <w:rFonts w:hint="eastAsia" w:ascii="宋体" w:hAnsi="宋体" w:eastAsia="宋体" w:cs="宋体"/>
                <w:sz w:val="24"/>
                <w:szCs w:val="24"/>
                <w:highlight w:val="none"/>
              </w:rPr>
              <w:t>10.根据原料性质、菜品要求将原料切出规则的形状并且要均匀一致，如有同一种类原材料切配后重量差异超过50%或以上，每次扣1分。</w:t>
            </w:r>
          </w:p>
        </w:tc>
        <w:tc>
          <w:tcPr>
            <w:tcW w:w="276" w:type="pct"/>
            <w:vMerge w:val="continue"/>
            <w:noWrap/>
            <w:vAlign w:val="center"/>
          </w:tcPr>
          <w:p w14:paraId="2DB68508">
            <w:pPr>
              <w:rPr>
                <w:rFonts w:hint="eastAsia" w:ascii="宋体" w:hAnsi="宋体" w:eastAsia="宋体" w:cs="宋体"/>
                <w:sz w:val="24"/>
                <w:szCs w:val="24"/>
                <w:highlight w:val="none"/>
              </w:rPr>
            </w:pPr>
          </w:p>
        </w:tc>
        <w:tc>
          <w:tcPr>
            <w:tcW w:w="224" w:type="pct"/>
            <w:vMerge w:val="continue"/>
            <w:noWrap/>
            <w:vAlign w:val="center"/>
          </w:tcPr>
          <w:p w14:paraId="4A57B0FB">
            <w:pPr>
              <w:rPr>
                <w:rFonts w:hint="eastAsia" w:ascii="宋体" w:hAnsi="宋体" w:eastAsia="宋体" w:cs="宋体"/>
                <w:sz w:val="24"/>
                <w:szCs w:val="24"/>
                <w:highlight w:val="none"/>
              </w:rPr>
            </w:pPr>
          </w:p>
        </w:tc>
      </w:tr>
      <w:tr w14:paraId="1C36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04F49E7B">
            <w:pPr>
              <w:rPr>
                <w:rFonts w:hint="eastAsia" w:ascii="宋体" w:hAnsi="宋体" w:eastAsia="宋体" w:cs="宋体"/>
                <w:sz w:val="24"/>
                <w:szCs w:val="24"/>
                <w:highlight w:val="none"/>
              </w:rPr>
            </w:pPr>
          </w:p>
        </w:tc>
        <w:tc>
          <w:tcPr>
            <w:tcW w:w="477" w:type="pct"/>
            <w:vMerge w:val="continue"/>
            <w:shd w:val="clear" w:color="auto" w:fill="auto"/>
            <w:noWrap/>
            <w:vAlign w:val="center"/>
          </w:tcPr>
          <w:p w14:paraId="55FA0AB3">
            <w:pPr>
              <w:rPr>
                <w:rFonts w:hint="eastAsia" w:ascii="宋体" w:hAnsi="宋体" w:eastAsia="宋体" w:cs="宋体"/>
                <w:sz w:val="24"/>
                <w:szCs w:val="24"/>
                <w:highlight w:val="none"/>
              </w:rPr>
            </w:pPr>
          </w:p>
        </w:tc>
        <w:tc>
          <w:tcPr>
            <w:tcW w:w="3546" w:type="pct"/>
            <w:shd w:val="clear" w:color="auto" w:fill="auto"/>
            <w:noWrap/>
          </w:tcPr>
          <w:p w14:paraId="6EC8DC32">
            <w:pPr>
              <w:rPr>
                <w:rFonts w:hint="eastAsia" w:ascii="宋体" w:hAnsi="宋体" w:eastAsia="宋体" w:cs="宋体"/>
                <w:sz w:val="24"/>
                <w:szCs w:val="24"/>
                <w:highlight w:val="none"/>
              </w:rPr>
            </w:pPr>
            <w:r>
              <w:rPr>
                <w:rFonts w:hint="eastAsia" w:ascii="宋体" w:hAnsi="宋体" w:eastAsia="宋体" w:cs="宋体"/>
                <w:sz w:val="24"/>
                <w:szCs w:val="24"/>
                <w:highlight w:val="none"/>
              </w:rPr>
              <w:t>11.青菜应先洗后切，洗前要浸泡30分钟，如发现违规操作，每次扣1分。</w:t>
            </w:r>
          </w:p>
        </w:tc>
        <w:tc>
          <w:tcPr>
            <w:tcW w:w="276" w:type="pct"/>
            <w:vMerge w:val="continue"/>
            <w:noWrap/>
            <w:vAlign w:val="center"/>
          </w:tcPr>
          <w:p w14:paraId="33F4516D">
            <w:pPr>
              <w:rPr>
                <w:rFonts w:hint="eastAsia" w:ascii="宋体" w:hAnsi="宋体" w:eastAsia="宋体" w:cs="宋体"/>
                <w:sz w:val="24"/>
                <w:szCs w:val="24"/>
                <w:highlight w:val="none"/>
              </w:rPr>
            </w:pPr>
          </w:p>
        </w:tc>
        <w:tc>
          <w:tcPr>
            <w:tcW w:w="224" w:type="pct"/>
            <w:vMerge w:val="continue"/>
            <w:noWrap/>
            <w:vAlign w:val="center"/>
          </w:tcPr>
          <w:p w14:paraId="28DA4D1B">
            <w:pPr>
              <w:rPr>
                <w:rFonts w:hint="eastAsia" w:ascii="宋体" w:hAnsi="宋体" w:eastAsia="宋体" w:cs="宋体"/>
                <w:sz w:val="24"/>
                <w:szCs w:val="24"/>
                <w:highlight w:val="none"/>
              </w:rPr>
            </w:pPr>
          </w:p>
        </w:tc>
      </w:tr>
      <w:tr w14:paraId="0BC8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49459D3F">
            <w:pPr>
              <w:rPr>
                <w:rFonts w:hint="eastAsia" w:ascii="宋体" w:hAnsi="宋体" w:eastAsia="宋体" w:cs="宋体"/>
                <w:sz w:val="24"/>
                <w:szCs w:val="24"/>
                <w:highlight w:val="none"/>
              </w:rPr>
            </w:pPr>
          </w:p>
        </w:tc>
        <w:tc>
          <w:tcPr>
            <w:tcW w:w="477" w:type="pct"/>
            <w:vMerge w:val="continue"/>
            <w:shd w:val="clear" w:color="auto" w:fill="auto"/>
            <w:noWrap/>
            <w:vAlign w:val="center"/>
          </w:tcPr>
          <w:p w14:paraId="3ED1E8AB">
            <w:pPr>
              <w:rPr>
                <w:rFonts w:hint="eastAsia" w:ascii="宋体" w:hAnsi="宋体" w:eastAsia="宋体" w:cs="宋体"/>
                <w:sz w:val="24"/>
                <w:szCs w:val="24"/>
                <w:highlight w:val="none"/>
              </w:rPr>
            </w:pPr>
          </w:p>
        </w:tc>
        <w:tc>
          <w:tcPr>
            <w:tcW w:w="3546" w:type="pct"/>
            <w:shd w:val="clear" w:color="auto" w:fill="auto"/>
            <w:noWrap/>
          </w:tcPr>
          <w:p w14:paraId="1B1EA771">
            <w:pPr>
              <w:rPr>
                <w:rFonts w:hint="eastAsia" w:ascii="宋体" w:hAnsi="宋体" w:eastAsia="宋体" w:cs="宋体"/>
                <w:sz w:val="24"/>
                <w:szCs w:val="24"/>
                <w:highlight w:val="none"/>
              </w:rPr>
            </w:pPr>
            <w:r>
              <w:rPr>
                <w:rFonts w:hint="eastAsia" w:ascii="宋体" w:hAnsi="宋体" w:eastAsia="宋体" w:cs="宋体"/>
                <w:sz w:val="24"/>
                <w:szCs w:val="24"/>
                <w:highlight w:val="none"/>
              </w:rPr>
              <w:t>12.杜绝使用腐烂、变质的食材原料，如发现违规操作，每次扣1分。</w:t>
            </w:r>
          </w:p>
        </w:tc>
        <w:tc>
          <w:tcPr>
            <w:tcW w:w="276" w:type="pct"/>
            <w:vMerge w:val="continue"/>
            <w:noWrap/>
            <w:vAlign w:val="center"/>
          </w:tcPr>
          <w:p w14:paraId="059C0FF8">
            <w:pPr>
              <w:rPr>
                <w:rFonts w:hint="eastAsia" w:ascii="宋体" w:hAnsi="宋体" w:eastAsia="宋体" w:cs="宋体"/>
                <w:sz w:val="24"/>
                <w:szCs w:val="24"/>
                <w:highlight w:val="none"/>
              </w:rPr>
            </w:pPr>
          </w:p>
        </w:tc>
        <w:tc>
          <w:tcPr>
            <w:tcW w:w="224" w:type="pct"/>
            <w:vMerge w:val="continue"/>
            <w:noWrap/>
            <w:vAlign w:val="center"/>
          </w:tcPr>
          <w:p w14:paraId="02F0CDCB">
            <w:pPr>
              <w:rPr>
                <w:rFonts w:hint="eastAsia" w:ascii="宋体" w:hAnsi="宋体" w:eastAsia="宋体" w:cs="宋体"/>
                <w:sz w:val="24"/>
                <w:szCs w:val="24"/>
                <w:highlight w:val="none"/>
              </w:rPr>
            </w:pPr>
          </w:p>
        </w:tc>
      </w:tr>
      <w:tr w14:paraId="07A7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1A99C121">
            <w:pPr>
              <w:rPr>
                <w:rFonts w:hint="eastAsia" w:ascii="宋体" w:hAnsi="宋体" w:eastAsia="宋体" w:cs="宋体"/>
                <w:sz w:val="24"/>
                <w:szCs w:val="24"/>
                <w:highlight w:val="none"/>
              </w:rPr>
            </w:pPr>
          </w:p>
        </w:tc>
        <w:tc>
          <w:tcPr>
            <w:tcW w:w="477" w:type="pct"/>
            <w:vMerge w:val="continue"/>
            <w:shd w:val="clear" w:color="auto" w:fill="auto"/>
            <w:noWrap/>
            <w:vAlign w:val="center"/>
          </w:tcPr>
          <w:p w14:paraId="751B5276">
            <w:pPr>
              <w:rPr>
                <w:rFonts w:hint="eastAsia" w:ascii="宋体" w:hAnsi="宋体" w:eastAsia="宋体" w:cs="宋体"/>
                <w:sz w:val="24"/>
                <w:szCs w:val="24"/>
                <w:highlight w:val="none"/>
              </w:rPr>
            </w:pPr>
          </w:p>
        </w:tc>
        <w:tc>
          <w:tcPr>
            <w:tcW w:w="3546" w:type="pct"/>
            <w:shd w:val="clear" w:color="auto" w:fill="auto"/>
            <w:noWrap/>
          </w:tcPr>
          <w:p w14:paraId="5D8857B3">
            <w:pPr>
              <w:rPr>
                <w:rFonts w:hint="eastAsia" w:ascii="宋体" w:hAnsi="宋体" w:eastAsia="宋体" w:cs="宋体"/>
                <w:sz w:val="24"/>
                <w:szCs w:val="24"/>
                <w:highlight w:val="none"/>
              </w:rPr>
            </w:pPr>
            <w:r>
              <w:rPr>
                <w:rFonts w:hint="eastAsia" w:ascii="宋体" w:hAnsi="宋体" w:eastAsia="宋体" w:cs="宋体"/>
                <w:sz w:val="24"/>
                <w:szCs w:val="24"/>
                <w:highlight w:val="none"/>
              </w:rPr>
              <w:t>13.食品存在变质异味情况，每次扣5分。</w:t>
            </w:r>
          </w:p>
        </w:tc>
        <w:tc>
          <w:tcPr>
            <w:tcW w:w="276" w:type="pct"/>
            <w:vMerge w:val="continue"/>
            <w:noWrap/>
            <w:vAlign w:val="center"/>
          </w:tcPr>
          <w:p w14:paraId="27E261A6">
            <w:pPr>
              <w:rPr>
                <w:rFonts w:hint="eastAsia" w:ascii="宋体" w:hAnsi="宋体" w:eastAsia="宋体" w:cs="宋体"/>
                <w:sz w:val="24"/>
                <w:szCs w:val="24"/>
                <w:highlight w:val="none"/>
              </w:rPr>
            </w:pPr>
          </w:p>
        </w:tc>
        <w:tc>
          <w:tcPr>
            <w:tcW w:w="224" w:type="pct"/>
            <w:vMerge w:val="continue"/>
            <w:noWrap/>
            <w:vAlign w:val="center"/>
          </w:tcPr>
          <w:p w14:paraId="55D99B06">
            <w:pPr>
              <w:rPr>
                <w:rFonts w:hint="eastAsia" w:ascii="宋体" w:hAnsi="宋体" w:eastAsia="宋体" w:cs="宋体"/>
                <w:sz w:val="24"/>
                <w:szCs w:val="24"/>
                <w:highlight w:val="none"/>
              </w:rPr>
            </w:pPr>
          </w:p>
        </w:tc>
      </w:tr>
      <w:tr w14:paraId="0F34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493A34B8">
            <w:pPr>
              <w:rPr>
                <w:rFonts w:hint="eastAsia" w:ascii="宋体" w:hAnsi="宋体" w:eastAsia="宋体" w:cs="宋体"/>
                <w:sz w:val="24"/>
                <w:szCs w:val="24"/>
                <w:highlight w:val="none"/>
              </w:rPr>
            </w:pPr>
          </w:p>
        </w:tc>
        <w:tc>
          <w:tcPr>
            <w:tcW w:w="477" w:type="pct"/>
            <w:vMerge w:val="continue"/>
            <w:shd w:val="clear" w:color="auto" w:fill="auto"/>
            <w:noWrap/>
            <w:vAlign w:val="center"/>
          </w:tcPr>
          <w:p w14:paraId="307E6B04">
            <w:pPr>
              <w:rPr>
                <w:rFonts w:hint="eastAsia" w:ascii="宋体" w:hAnsi="宋体" w:eastAsia="宋体" w:cs="宋体"/>
                <w:sz w:val="24"/>
                <w:szCs w:val="24"/>
                <w:highlight w:val="none"/>
              </w:rPr>
            </w:pPr>
          </w:p>
        </w:tc>
        <w:tc>
          <w:tcPr>
            <w:tcW w:w="3546" w:type="pct"/>
            <w:shd w:val="clear" w:color="auto" w:fill="auto"/>
            <w:noWrap/>
          </w:tcPr>
          <w:p w14:paraId="6032375F">
            <w:pPr>
              <w:rPr>
                <w:rFonts w:hint="eastAsia" w:ascii="宋体" w:hAnsi="宋体" w:eastAsia="宋体" w:cs="宋体"/>
                <w:sz w:val="24"/>
                <w:szCs w:val="24"/>
                <w:highlight w:val="none"/>
              </w:rPr>
            </w:pPr>
            <w:r>
              <w:rPr>
                <w:rFonts w:hint="eastAsia" w:ascii="宋体" w:hAnsi="宋体" w:eastAsia="宋体" w:cs="宋体"/>
                <w:sz w:val="24"/>
                <w:szCs w:val="24"/>
                <w:highlight w:val="none"/>
              </w:rPr>
              <w:t>14.主厨不能私自变更饭菜品种、价格，如发现违规操作，每次扣1分。</w:t>
            </w:r>
          </w:p>
        </w:tc>
        <w:tc>
          <w:tcPr>
            <w:tcW w:w="276" w:type="pct"/>
            <w:vMerge w:val="continue"/>
            <w:noWrap/>
            <w:vAlign w:val="center"/>
          </w:tcPr>
          <w:p w14:paraId="409DC8A9">
            <w:pPr>
              <w:rPr>
                <w:rFonts w:hint="eastAsia" w:ascii="宋体" w:hAnsi="宋体" w:eastAsia="宋体" w:cs="宋体"/>
                <w:sz w:val="24"/>
                <w:szCs w:val="24"/>
                <w:highlight w:val="none"/>
              </w:rPr>
            </w:pPr>
          </w:p>
        </w:tc>
        <w:tc>
          <w:tcPr>
            <w:tcW w:w="224" w:type="pct"/>
            <w:vMerge w:val="continue"/>
            <w:noWrap/>
            <w:vAlign w:val="center"/>
          </w:tcPr>
          <w:p w14:paraId="61B35967">
            <w:pPr>
              <w:rPr>
                <w:rFonts w:hint="eastAsia" w:ascii="宋体" w:hAnsi="宋体" w:eastAsia="宋体" w:cs="宋体"/>
                <w:sz w:val="24"/>
                <w:szCs w:val="24"/>
                <w:highlight w:val="none"/>
              </w:rPr>
            </w:pPr>
          </w:p>
        </w:tc>
      </w:tr>
      <w:tr w14:paraId="5941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4C81E7A9">
            <w:pPr>
              <w:rPr>
                <w:rFonts w:hint="eastAsia" w:ascii="宋体" w:hAnsi="宋体" w:eastAsia="宋体" w:cs="宋体"/>
                <w:sz w:val="24"/>
                <w:szCs w:val="24"/>
                <w:highlight w:val="none"/>
              </w:rPr>
            </w:pPr>
          </w:p>
        </w:tc>
        <w:tc>
          <w:tcPr>
            <w:tcW w:w="477" w:type="pct"/>
            <w:vMerge w:val="continue"/>
            <w:shd w:val="clear" w:color="auto" w:fill="auto"/>
            <w:noWrap/>
            <w:vAlign w:val="center"/>
          </w:tcPr>
          <w:p w14:paraId="0C796BF8">
            <w:pPr>
              <w:rPr>
                <w:rFonts w:hint="eastAsia" w:ascii="宋体" w:hAnsi="宋体" w:eastAsia="宋体" w:cs="宋体"/>
                <w:sz w:val="24"/>
                <w:szCs w:val="24"/>
                <w:highlight w:val="none"/>
              </w:rPr>
            </w:pPr>
          </w:p>
        </w:tc>
        <w:tc>
          <w:tcPr>
            <w:tcW w:w="3546" w:type="pct"/>
            <w:shd w:val="clear" w:color="auto" w:fill="auto"/>
            <w:noWrap/>
          </w:tcPr>
          <w:p w14:paraId="2ADF9955">
            <w:pPr>
              <w:rPr>
                <w:rFonts w:hint="eastAsia" w:ascii="宋体" w:hAnsi="宋体" w:eastAsia="宋体" w:cs="宋体"/>
                <w:sz w:val="24"/>
                <w:szCs w:val="24"/>
                <w:highlight w:val="none"/>
              </w:rPr>
            </w:pPr>
            <w:r>
              <w:rPr>
                <w:rFonts w:hint="eastAsia" w:ascii="宋体" w:hAnsi="宋体" w:eastAsia="宋体" w:cs="宋体"/>
                <w:sz w:val="24"/>
                <w:szCs w:val="24"/>
                <w:highlight w:val="none"/>
              </w:rPr>
              <w:t>15.应保证病人餐的出品质量，菜单每月变动一次，提交甲方审核后方可执行，如发现违规操作，每次扣1分。</w:t>
            </w:r>
          </w:p>
        </w:tc>
        <w:tc>
          <w:tcPr>
            <w:tcW w:w="276" w:type="pct"/>
            <w:vMerge w:val="continue"/>
            <w:noWrap/>
            <w:vAlign w:val="center"/>
          </w:tcPr>
          <w:p w14:paraId="0B915FF3">
            <w:pPr>
              <w:rPr>
                <w:rFonts w:hint="eastAsia" w:ascii="宋体" w:hAnsi="宋体" w:eastAsia="宋体" w:cs="宋体"/>
                <w:sz w:val="24"/>
                <w:szCs w:val="24"/>
                <w:highlight w:val="none"/>
              </w:rPr>
            </w:pPr>
          </w:p>
        </w:tc>
        <w:tc>
          <w:tcPr>
            <w:tcW w:w="224" w:type="pct"/>
            <w:vMerge w:val="continue"/>
            <w:noWrap/>
            <w:vAlign w:val="center"/>
          </w:tcPr>
          <w:p w14:paraId="3EB8FBF1">
            <w:pPr>
              <w:rPr>
                <w:rFonts w:hint="eastAsia" w:ascii="宋体" w:hAnsi="宋体" w:eastAsia="宋体" w:cs="宋体"/>
                <w:sz w:val="24"/>
                <w:szCs w:val="24"/>
                <w:highlight w:val="none"/>
              </w:rPr>
            </w:pPr>
          </w:p>
        </w:tc>
      </w:tr>
      <w:tr w14:paraId="75CA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3116C343">
            <w:pPr>
              <w:rPr>
                <w:rFonts w:hint="eastAsia" w:ascii="宋体" w:hAnsi="宋体" w:eastAsia="宋体" w:cs="宋体"/>
                <w:sz w:val="24"/>
                <w:szCs w:val="24"/>
                <w:highlight w:val="none"/>
              </w:rPr>
            </w:pPr>
          </w:p>
        </w:tc>
        <w:tc>
          <w:tcPr>
            <w:tcW w:w="477" w:type="pct"/>
            <w:vMerge w:val="continue"/>
            <w:shd w:val="clear" w:color="auto" w:fill="auto"/>
            <w:noWrap/>
            <w:vAlign w:val="center"/>
          </w:tcPr>
          <w:p w14:paraId="7FEF3D54">
            <w:pPr>
              <w:rPr>
                <w:rFonts w:hint="eastAsia" w:ascii="宋体" w:hAnsi="宋体" w:eastAsia="宋体" w:cs="宋体"/>
                <w:sz w:val="24"/>
                <w:szCs w:val="24"/>
                <w:highlight w:val="none"/>
              </w:rPr>
            </w:pPr>
          </w:p>
        </w:tc>
        <w:tc>
          <w:tcPr>
            <w:tcW w:w="3546" w:type="pct"/>
            <w:shd w:val="clear" w:color="auto" w:fill="auto"/>
            <w:noWrap/>
          </w:tcPr>
          <w:p w14:paraId="495E6928">
            <w:pPr>
              <w:rPr>
                <w:rFonts w:hint="eastAsia" w:ascii="宋体" w:hAnsi="宋体" w:eastAsia="宋体" w:cs="宋体"/>
                <w:sz w:val="24"/>
                <w:szCs w:val="24"/>
                <w:highlight w:val="none"/>
              </w:rPr>
            </w:pPr>
            <w:r>
              <w:rPr>
                <w:rFonts w:hint="eastAsia" w:ascii="宋体" w:hAnsi="宋体" w:eastAsia="宋体" w:cs="宋体"/>
                <w:sz w:val="24"/>
                <w:szCs w:val="24"/>
                <w:highlight w:val="none"/>
              </w:rPr>
              <w:t>16.应保证病人餐菜式搭配绿色健康，需提供重口味、谈口味、蒸菜、蒸蛋、辣菜、炒菜等供选择，如发现未按规定提供，每次扣1分。</w:t>
            </w:r>
          </w:p>
        </w:tc>
        <w:tc>
          <w:tcPr>
            <w:tcW w:w="276" w:type="pct"/>
            <w:vMerge w:val="continue"/>
            <w:noWrap/>
            <w:vAlign w:val="center"/>
          </w:tcPr>
          <w:p w14:paraId="16CAA555">
            <w:pPr>
              <w:rPr>
                <w:rFonts w:hint="eastAsia" w:ascii="宋体" w:hAnsi="宋体" w:eastAsia="宋体" w:cs="宋体"/>
                <w:sz w:val="24"/>
                <w:szCs w:val="24"/>
                <w:highlight w:val="none"/>
              </w:rPr>
            </w:pPr>
          </w:p>
        </w:tc>
        <w:tc>
          <w:tcPr>
            <w:tcW w:w="224" w:type="pct"/>
            <w:vMerge w:val="continue"/>
            <w:noWrap/>
            <w:vAlign w:val="center"/>
          </w:tcPr>
          <w:p w14:paraId="72ACC57D">
            <w:pPr>
              <w:rPr>
                <w:rFonts w:hint="eastAsia" w:ascii="宋体" w:hAnsi="宋体" w:eastAsia="宋体" w:cs="宋体"/>
                <w:sz w:val="24"/>
                <w:szCs w:val="24"/>
                <w:highlight w:val="none"/>
              </w:rPr>
            </w:pPr>
          </w:p>
        </w:tc>
      </w:tr>
      <w:tr w14:paraId="1BA9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74" w:type="pct"/>
            <w:vMerge w:val="continue"/>
            <w:shd w:val="clear" w:color="auto" w:fill="auto"/>
            <w:noWrap/>
            <w:vAlign w:val="center"/>
          </w:tcPr>
          <w:p w14:paraId="0B363944">
            <w:pPr>
              <w:rPr>
                <w:rFonts w:hint="eastAsia" w:ascii="宋体" w:hAnsi="宋体" w:eastAsia="宋体" w:cs="宋体"/>
                <w:sz w:val="24"/>
                <w:szCs w:val="24"/>
                <w:highlight w:val="none"/>
              </w:rPr>
            </w:pPr>
          </w:p>
        </w:tc>
        <w:tc>
          <w:tcPr>
            <w:tcW w:w="477" w:type="pct"/>
            <w:vMerge w:val="continue"/>
            <w:shd w:val="clear" w:color="auto" w:fill="auto"/>
            <w:noWrap/>
            <w:vAlign w:val="center"/>
          </w:tcPr>
          <w:p w14:paraId="4A4E0FEB">
            <w:pPr>
              <w:rPr>
                <w:rFonts w:hint="eastAsia" w:ascii="宋体" w:hAnsi="宋体" w:eastAsia="宋体" w:cs="宋体"/>
                <w:sz w:val="24"/>
                <w:szCs w:val="24"/>
                <w:highlight w:val="none"/>
              </w:rPr>
            </w:pPr>
          </w:p>
        </w:tc>
        <w:tc>
          <w:tcPr>
            <w:tcW w:w="3546" w:type="pct"/>
            <w:shd w:val="clear" w:color="auto" w:fill="auto"/>
            <w:noWrap/>
          </w:tcPr>
          <w:p w14:paraId="5E8600D4">
            <w:pPr>
              <w:rPr>
                <w:rFonts w:hint="eastAsia" w:ascii="宋体" w:hAnsi="宋体" w:eastAsia="宋体" w:cs="宋体"/>
                <w:sz w:val="24"/>
                <w:szCs w:val="24"/>
                <w:highlight w:val="none"/>
              </w:rPr>
            </w:pPr>
            <w:r>
              <w:rPr>
                <w:rFonts w:hint="eastAsia" w:ascii="宋体" w:hAnsi="宋体" w:eastAsia="宋体" w:cs="宋体"/>
                <w:sz w:val="24"/>
                <w:szCs w:val="24"/>
                <w:highlight w:val="none"/>
              </w:rPr>
              <w:t>17.应保证病人餐每餐提供流质、半流质、糖尿病饮食、无盐餐、高蛋白质餐等特殊餐饮需求服务（特殊餐饮服务根据甲方临床患者的需求变动而变动）。如发现未按规定提供，每次扣5分。</w:t>
            </w:r>
          </w:p>
        </w:tc>
        <w:tc>
          <w:tcPr>
            <w:tcW w:w="276" w:type="pct"/>
            <w:vMerge w:val="continue"/>
            <w:noWrap/>
            <w:vAlign w:val="center"/>
          </w:tcPr>
          <w:p w14:paraId="0E37C000">
            <w:pPr>
              <w:rPr>
                <w:rFonts w:hint="eastAsia" w:ascii="宋体" w:hAnsi="宋体" w:eastAsia="宋体" w:cs="宋体"/>
                <w:sz w:val="24"/>
                <w:szCs w:val="24"/>
                <w:highlight w:val="none"/>
              </w:rPr>
            </w:pPr>
          </w:p>
        </w:tc>
        <w:tc>
          <w:tcPr>
            <w:tcW w:w="224" w:type="pct"/>
            <w:vMerge w:val="continue"/>
            <w:noWrap/>
            <w:vAlign w:val="center"/>
          </w:tcPr>
          <w:p w14:paraId="63C9EB3D">
            <w:pPr>
              <w:rPr>
                <w:rFonts w:hint="eastAsia" w:ascii="宋体" w:hAnsi="宋体" w:eastAsia="宋体" w:cs="宋体"/>
                <w:sz w:val="24"/>
                <w:szCs w:val="24"/>
                <w:highlight w:val="none"/>
              </w:rPr>
            </w:pPr>
          </w:p>
        </w:tc>
      </w:tr>
      <w:tr w14:paraId="4088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5D6DF576">
            <w:pPr>
              <w:rPr>
                <w:rFonts w:hint="eastAsia" w:ascii="宋体" w:hAnsi="宋体" w:eastAsia="宋体" w:cs="宋体"/>
                <w:sz w:val="24"/>
                <w:szCs w:val="24"/>
                <w:highlight w:val="none"/>
              </w:rPr>
            </w:pPr>
          </w:p>
        </w:tc>
        <w:tc>
          <w:tcPr>
            <w:tcW w:w="477" w:type="pct"/>
            <w:vMerge w:val="restart"/>
            <w:shd w:val="clear" w:color="auto" w:fill="auto"/>
            <w:noWrap/>
            <w:vAlign w:val="center"/>
          </w:tcPr>
          <w:p w14:paraId="5B58EDEB">
            <w:pPr>
              <w:rPr>
                <w:rFonts w:hint="eastAsia" w:ascii="宋体" w:hAnsi="宋体" w:eastAsia="宋体" w:cs="宋体"/>
                <w:sz w:val="24"/>
                <w:szCs w:val="24"/>
                <w:highlight w:val="none"/>
              </w:rPr>
            </w:pPr>
            <w:r>
              <w:rPr>
                <w:rFonts w:hint="eastAsia" w:ascii="宋体" w:hAnsi="宋体" w:eastAsia="宋体" w:cs="宋体"/>
                <w:sz w:val="24"/>
                <w:szCs w:val="24"/>
                <w:highlight w:val="none"/>
              </w:rPr>
              <w:t>服务质量</w:t>
            </w:r>
          </w:p>
        </w:tc>
        <w:tc>
          <w:tcPr>
            <w:tcW w:w="3546" w:type="pct"/>
            <w:shd w:val="clear" w:color="auto" w:fill="auto"/>
            <w:noWrap/>
          </w:tcPr>
          <w:p w14:paraId="44ECC868">
            <w:pPr>
              <w:rPr>
                <w:rFonts w:hint="eastAsia" w:ascii="宋体" w:hAnsi="宋体" w:eastAsia="宋体" w:cs="宋体"/>
                <w:sz w:val="24"/>
                <w:szCs w:val="24"/>
                <w:highlight w:val="none"/>
              </w:rPr>
            </w:pPr>
            <w:r>
              <w:rPr>
                <w:rFonts w:hint="eastAsia" w:ascii="宋体" w:hAnsi="宋体" w:eastAsia="宋体" w:cs="宋体"/>
                <w:sz w:val="24"/>
                <w:szCs w:val="24"/>
                <w:highlight w:val="none"/>
              </w:rPr>
              <w:t>1.应保证配餐准时，并按在规定时间内完成配餐（包括职工餐与病人餐），如有延时每次扣1分，如有漏送每次扣1分。</w:t>
            </w:r>
          </w:p>
        </w:tc>
        <w:tc>
          <w:tcPr>
            <w:tcW w:w="276" w:type="pct"/>
            <w:vMerge w:val="restart"/>
            <w:shd w:val="clear" w:color="auto" w:fill="auto"/>
            <w:noWrap/>
            <w:vAlign w:val="center"/>
          </w:tcPr>
          <w:p w14:paraId="7191478F">
            <w:pP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24" w:type="pct"/>
            <w:vMerge w:val="restart"/>
            <w:shd w:val="clear" w:color="auto" w:fill="auto"/>
            <w:noWrap/>
          </w:tcPr>
          <w:p w14:paraId="2B9E4828">
            <w:pPr>
              <w:rPr>
                <w:rFonts w:hint="eastAsia" w:ascii="宋体" w:hAnsi="宋体" w:eastAsia="宋体" w:cs="宋体"/>
                <w:sz w:val="24"/>
                <w:szCs w:val="24"/>
                <w:highlight w:val="none"/>
              </w:rPr>
            </w:pPr>
          </w:p>
        </w:tc>
      </w:tr>
      <w:tr w14:paraId="7979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1F5EDA9A">
            <w:pPr>
              <w:rPr>
                <w:rFonts w:hint="eastAsia" w:ascii="宋体" w:hAnsi="宋体" w:eastAsia="宋体" w:cs="宋体"/>
                <w:sz w:val="24"/>
                <w:szCs w:val="24"/>
                <w:highlight w:val="none"/>
              </w:rPr>
            </w:pPr>
          </w:p>
        </w:tc>
        <w:tc>
          <w:tcPr>
            <w:tcW w:w="477" w:type="pct"/>
            <w:vMerge w:val="continue"/>
            <w:shd w:val="clear" w:color="auto" w:fill="auto"/>
            <w:noWrap/>
            <w:vAlign w:val="center"/>
          </w:tcPr>
          <w:p w14:paraId="50D8067C">
            <w:pPr>
              <w:rPr>
                <w:rFonts w:hint="eastAsia" w:ascii="宋体" w:hAnsi="宋体" w:eastAsia="宋体" w:cs="宋体"/>
                <w:sz w:val="24"/>
                <w:szCs w:val="24"/>
                <w:highlight w:val="none"/>
              </w:rPr>
            </w:pPr>
          </w:p>
        </w:tc>
        <w:tc>
          <w:tcPr>
            <w:tcW w:w="3546" w:type="pct"/>
            <w:shd w:val="clear" w:color="auto" w:fill="auto"/>
            <w:noWrap/>
          </w:tcPr>
          <w:p w14:paraId="1A025169">
            <w:pPr>
              <w:rPr>
                <w:rFonts w:hint="eastAsia" w:ascii="宋体" w:hAnsi="宋体" w:eastAsia="宋体" w:cs="宋体"/>
                <w:sz w:val="24"/>
                <w:szCs w:val="24"/>
                <w:highlight w:val="none"/>
              </w:rPr>
            </w:pPr>
            <w:r>
              <w:rPr>
                <w:rFonts w:hint="eastAsia" w:ascii="宋体" w:hAnsi="宋体" w:eastAsia="宋体" w:cs="宋体"/>
                <w:sz w:val="24"/>
                <w:szCs w:val="24"/>
                <w:highlight w:val="none"/>
              </w:rPr>
              <w:t>2.不得私自更改食品加工流程、增减餐线、变更餐线布局、设备等现象，每次扣1分。</w:t>
            </w:r>
          </w:p>
        </w:tc>
        <w:tc>
          <w:tcPr>
            <w:tcW w:w="276" w:type="pct"/>
            <w:vMerge w:val="continue"/>
            <w:noWrap/>
            <w:vAlign w:val="center"/>
          </w:tcPr>
          <w:p w14:paraId="3EBF4E27">
            <w:pPr>
              <w:rPr>
                <w:rFonts w:hint="eastAsia" w:ascii="宋体" w:hAnsi="宋体" w:eastAsia="宋体" w:cs="宋体"/>
                <w:sz w:val="24"/>
                <w:szCs w:val="24"/>
                <w:highlight w:val="none"/>
              </w:rPr>
            </w:pPr>
          </w:p>
        </w:tc>
        <w:tc>
          <w:tcPr>
            <w:tcW w:w="224" w:type="pct"/>
            <w:vMerge w:val="continue"/>
            <w:noWrap/>
            <w:vAlign w:val="center"/>
          </w:tcPr>
          <w:p w14:paraId="4E5B8CC7">
            <w:pPr>
              <w:rPr>
                <w:rFonts w:hint="eastAsia" w:ascii="宋体" w:hAnsi="宋体" w:eastAsia="宋体" w:cs="宋体"/>
                <w:sz w:val="24"/>
                <w:szCs w:val="24"/>
                <w:highlight w:val="none"/>
              </w:rPr>
            </w:pPr>
          </w:p>
        </w:tc>
      </w:tr>
      <w:tr w14:paraId="1379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11376A25">
            <w:pPr>
              <w:rPr>
                <w:rFonts w:hint="eastAsia" w:ascii="宋体" w:hAnsi="宋体" w:eastAsia="宋体" w:cs="宋体"/>
                <w:sz w:val="24"/>
                <w:szCs w:val="24"/>
                <w:highlight w:val="none"/>
              </w:rPr>
            </w:pPr>
          </w:p>
        </w:tc>
        <w:tc>
          <w:tcPr>
            <w:tcW w:w="477" w:type="pct"/>
            <w:vMerge w:val="continue"/>
            <w:shd w:val="clear" w:color="auto" w:fill="auto"/>
            <w:noWrap/>
            <w:vAlign w:val="center"/>
          </w:tcPr>
          <w:p w14:paraId="6EC1F374">
            <w:pPr>
              <w:rPr>
                <w:rFonts w:hint="eastAsia" w:ascii="宋体" w:hAnsi="宋体" w:eastAsia="宋体" w:cs="宋体"/>
                <w:sz w:val="24"/>
                <w:szCs w:val="24"/>
                <w:highlight w:val="none"/>
              </w:rPr>
            </w:pPr>
          </w:p>
        </w:tc>
        <w:tc>
          <w:tcPr>
            <w:tcW w:w="3546" w:type="pct"/>
            <w:shd w:val="clear" w:color="auto" w:fill="auto"/>
            <w:noWrap/>
          </w:tcPr>
          <w:p w14:paraId="1874F213">
            <w:pPr>
              <w:rPr>
                <w:rFonts w:hint="eastAsia" w:ascii="宋体" w:hAnsi="宋体" w:eastAsia="宋体" w:cs="宋体"/>
                <w:sz w:val="24"/>
                <w:szCs w:val="24"/>
                <w:highlight w:val="none"/>
              </w:rPr>
            </w:pPr>
            <w:r>
              <w:rPr>
                <w:rFonts w:hint="eastAsia" w:ascii="宋体" w:hAnsi="宋体" w:eastAsia="宋体" w:cs="宋体"/>
                <w:sz w:val="24"/>
                <w:szCs w:val="24"/>
                <w:highlight w:val="none"/>
              </w:rPr>
              <w:t>3.有召回、中毒应急管理制度并符合相关要求，如明知食品有问题仍出餐或出餐后无召回，每次扣5分。</w:t>
            </w:r>
          </w:p>
        </w:tc>
        <w:tc>
          <w:tcPr>
            <w:tcW w:w="276" w:type="pct"/>
            <w:vMerge w:val="continue"/>
            <w:noWrap/>
            <w:vAlign w:val="center"/>
          </w:tcPr>
          <w:p w14:paraId="54459D4B">
            <w:pPr>
              <w:rPr>
                <w:rFonts w:hint="eastAsia" w:ascii="宋体" w:hAnsi="宋体" w:eastAsia="宋体" w:cs="宋体"/>
                <w:sz w:val="24"/>
                <w:szCs w:val="24"/>
                <w:highlight w:val="none"/>
              </w:rPr>
            </w:pPr>
          </w:p>
        </w:tc>
        <w:tc>
          <w:tcPr>
            <w:tcW w:w="224" w:type="pct"/>
            <w:vMerge w:val="continue"/>
            <w:noWrap/>
            <w:vAlign w:val="center"/>
          </w:tcPr>
          <w:p w14:paraId="3155A134">
            <w:pPr>
              <w:rPr>
                <w:rFonts w:hint="eastAsia" w:ascii="宋体" w:hAnsi="宋体" w:eastAsia="宋体" w:cs="宋体"/>
                <w:sz w:val="24"/>
                <w:szCs w:val="24"/>
                <w:highlight w:val="none"/>
              </w:rPr>
            </w:pPr>
          </w:p>
        </w:tc>
      </w:tr>
      <w:tr w14:paraId="617C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2DC21ACB">
            <w:pPr>
              <w:rPr>
                <w:rFonts w:hint="eastAsia" w:ascii="宋体" w:hAnsi="宋体" w:eastAsia="宋体" w:cs="宋体"/>
                <w:sz w:val="24"/>
                <w:szCs w:val="24"/>
                <w:highlight w:val="none"/>
              </w:rPr>
            </w:pPr>
          </w:p>
        </w:tc>
        <w:tc>
          <w:tcPr>
            <w:tcW w:w="477" w:type="pct"/>
            <w:vMerge w:val="continue"/>
            <w:shd w:val="clear" w:color="auto" w:fill="auto"/>
            <w:noWrap/>
            <w:vAlign w:val="center"/>
          </w:tcPr>
          <w:p w14:paraId="5FF90013">
            <w:pPr>
              <w:rPr>
                <w:rFonts w:hint="eastAsia" w:ascii="宋体" w:hAnsi="宋体" w:eastAsia="宋体" w:cs="宋体"/>
                <w:sz w:val="24"/>
                <w:szCs w:val="24"/>
                <w:highlight w:val="none"/>
              </w:rPr>
            </w:pPr>
          </w:p>
        </w:tc>
        <w:tc>
          <w:tcPr>
            <w:tcW w:w="3546" w:type="pct"/>
            <w:shd w:val="clear" w:color="auto" w:fill="auto"/>
            <w:noWrap/>
          </w:tcPr>
          <w:p w14:paraId="226D319F">
            <w:pPr>
              <w:rPr>
                <w:rFonts w:hint="eastAsia" w:ascii="宋体" w:hAnsi="宋体" w:eastAsia="宋体" w:cs="宋体"/>
                <w:sz w:val="24"/>
                <w:szCs w:val="24"/>
                <w:highlight w:val="none"/>
              </w:rPr>
            </w:pPr>
            <w:r>
              <w:rPr>
                <w:rFonts w:hint="eastAsia" w:ascii="宋体" w:hAnsi="宋体" w:eastAsia="宋体" w:cs="宋体"/>
                <w:sz w:val="24"/>
                <w:szCs w:val="24"/>
                <w:highlight w:val="none"/>
              </w:rPr>
              <w:t>4.围餐服务应提供不低于3星级酒店的服务标准，并安排专人接待，如发现违规操作，每次扣1分。</w:t>
            </w:r>
          </w:p>
        </w:tc>
        <w:tc>
          <w:tcPr>
            <w:tcW w:w="276" w:type="pct"/>
            <w:vMerge w:val="continue"/>
            <w:noWrap/>
            <w:vAlign w:val="center"/>
          </w:tcPr>
          <w:p w14:paraId="38C38247">
            <w:pPr>
              <w:rPr>
                <w:rFonts w:hint="eastAsia" w:ascii="宋体" w:hAnsi="宋体" w:eastAsia="宋体" w:cs="宋体"/>
                <w:sz w:val="24"/>
                <w:szCs w:val="24"/>
                <w:highlight w:val="none"/>
              </w:rPr>
            </w:pPr>
          </w:p>
        </w:tc>
        <w:tc>
          <w:tcPr>
            <w:tcW w:w="224" w:type="pct"/>
            <w:vMerge w:val="continue"/>
            <w:noWrap/>
            <w:vAlign w:val="center"/>
          </w:tcPr>
          <w:p w14:paraId="64432135">
            <w:pPr>
              <w:rPr>
                <w:rFonts w:hint="eastAsia" w:ascii="宋体" w:hAnsi="宋体" w:eastAsia="宋体" w:cs="宋体"/>
                <w:sz w:val="24"/>
                <w:szCs w:val="24"/>
                <w:highlight w:val="none"/>
              </w:rPr>
            </w:pPr>
          </w:p>
        </w:tc>
      </w:tr>
      <w:tr w14:paraId="0079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4E57E91D">
            <w:pPr>
              <w:rPr>
                <w:rFonts w:hint="eastAsia" w:ascii="宋体" w:hAnsi="宋体" w:eastAsia="宋体" w:cs="宋体"/>
                <w:sz w:val="24"/>
                <w:szCs w:val="24"/>
                <w:highlight w:val="none"/>
              </w:rPr>
            </w:pPr>
          </w:p>
        </w:tc>
        <w:tc>
          <w:tcPr>
            <w:tcW w:w="477" w:type="pct"/>
            <w:vMerge w:val="continue"/>
            <w:shd w:val="clear" w:color="auto" w:fill="auto"/>
            <w:noWrap/>
            <w:vAlign w:val="center"/>
          </w:tcPr>
          <w:p w14:paraId="4B1DAE99">
            <w:pPr>
              <w:rPr>
                <w:rFonts w:hint="eastAsia" w:ascii="宋体" w:hAnsi="宋体" w:eastAsia="宋体" w:cs="宋体"/>
                <w:sz w:val="24"/>
                <w:szCs w:val="24"/>
                <w:highlight w:val="none"/>
              </w:rPr>
            </w:pPr>
          </w:p>
        </w:tc>
        <w:tc>
          <w:tcPr>
            <w:tcW w:w="3546" w:type="pct"/>
            <w:shd w:val="clear" w:color="auto" w:fill="auto"/>
            <w:noWrap/>
          </w:tcPr>
          <w:p w14:paraId="2F51E380">
            <w:pPr>
              <w:rPr>
                <w:rFonts w:hint="eastAsia" w:ascii="宋体" w:hAnsi="宋体" w:eastAsia="宋体" w:cs="宋体"/>
                <w:sz w:val="24"/>
                <w:szCs w:val="24"/>
                <w:highlight w:val="none"/>
              </w:rPr>
            </w:pPr>
            <w:r>
              <w:rPr>
                <w:rFonts w:hint="eastAsia" w:ascii="宋体" w:hAnsi="宋体" w:eastAsia="宋体" w:cs="宋体"/>
                <w:sz w:val="24"/>
                <w:szCs w:val="24"/>
                <w:highlight w:val="none"/>
              </w:rPr>
              <w:t>5.应主动举办美食活动、餐饮文化活动，如不配合甲方举办活动，每次扣10分。</w:t>
            </w:r>
          </w:p>
        </w:tc>
        <w:tc>
          <w:tcPr>
            <w:tcW w:w="276" w:type="pct"/>
            <w:vMerge w:val="continue"/>
            <w:noWrap/>
            <w:vAlign w:val="center"/>
          </w:tcPr>
          <w:p w14:paraId="0FC8E0A7">
            <w:pPr>
              <w:rPr>
                <w:rFonts w:hint="eastAsia" w:ascii="宋体" w:hAnsi="宋体" w:eastAsia="宋体" w:cs="宋体"/>
                <w:sz w:val="24"/>
                <w:szCs w:val="24"/>
                <w:highlight w:val="none"/>
              </w:rPr>
            </w:pPr>
          </w:p>
        </w:tc>
        <w:tc>
          <w:tcPr>
            <w:tcW w:w="224" w:type="pct"/>
            <w:vMerge w:val="continue"/>
            <w:noWrap/>
            <w:vAlign w:val="center"/>
          </w:tcPr>
          <w:p w14:paraId="2763ED94">
            <w:pPr>
              <w:rPr>
                <w:rFonts w:hint="eastAsia" w:ascii="宋体" w:hAnsi="宋体" w:eastAsia="宋体" w:cs="宋体"/>
                <w:sz w:val="24"/>
                <w:szCs w:val="24"/>
                <w:highlight w:val="none"/>
              </w:rPr>
            </w:pPr>
          </w:p>
        </w:tc>
      </w:tr>
      <w:tr w14:paraId="7B9B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1C11CB50">
            <w:pPr>
              <w:rPr>
                <w:rFonts w:hint="eastAsia" w:ascii="宋体" w:hAnsi="宋体" w:eastAsia="宋体" w:cs="宋体"/>
                <w:sz w:val="24"/>
                <w:szCs w:val="24"/>
                <w:highlight w:val="none"/>
              </w:rPr>
            </w:pPr>
          </w:p>
        </w:tc>
        <w:tc>
          <w:tcPr>
            <w:tcW w:w="477" w:type="pct"/>
            <w:vMerge w:val="continue"/>
            <w:shd w:val="clear" w:color="auto" w:fill="auto"/>
            <w:noWrap/>
            <w:vAlign w:val="center"/>
          </w:tcPr>
          <w:p w14:paraId="178B752B">
            <w:pPr>
              <w:rPr>
                <w:rFonts w:hint="eastAsia" w:ascii="宋体" w:hAnsi="宋体" w:eastAsia="宋体" w:cs="宋体"/>
                <w:sz w:val="24"/>
                <w:szCs w:val="24"/>
                <w:highlight w:val="none"/>
              </w:rPr>
            </w:pPr>
          </w:p>
        </w:tc>
        <w:tc>
          <w:tcPr>
            <w:tcW w:w="3546" w:type="pct"/>
            <w:shd w:val="clear" w:color="auto" w:fill="auto"/>
            <w:noWrap/>
          </w:tcPr>
          <w:p w14:paraId="3AD4F6DF">
            <w:pPr>
              <w:rPr>
                <w:rFonts w:hint="eastAsia" w:ascii="宋体" w:hAnsi="宋体" w:eastAsia="宋体" w:cs="宋体"/>
                <w:sz w:val="24"/>
                <w:szCs w:val="24"/>
                <w:highlight w:val="none"/>
              </w:rPr>
            </w:pPr>
            <w:r>
              <w:rPr>
                <w:rFonts w:hint="eastAsia" w:ascii="宋体" w:hAnsi="宋体" w:eastAsia="宋体" w:cs="宋体"/>
                <w:sz w:val="24"/>
                <w:szCs w:val="24"/>
                <w:highlight w:val="none"/>
              </w:rPr>
              <w:t>6.如甲方员工要求代煮猪脚姜与红鸡蛋，在能力范围内应当答应，如发现违规操作，每次扣1分。</w:t>
            </w:r>
          </w:p>
        </w:tc>
        <w:tc>
          <w:tcPr>
            <w:tcW w:w="276" w:type="pct"/>
            <w:vMerge w:val="continue"/>
            <w:noWrap/>
            <w:vAlign w:val="center"/>
          </w:tcPr>
          <w:p w14:paraId="3303C2AF">
            <w:pPr>
              <w:rPr>
                <w:rFonts w:hint="eastAsia" w:ascii="宋体" w:hAnsi="宋体" w:eastAsia="宋体" w:cs="宋体"/>
                <w:sz w:val="24"/>
                <w:szCs w:val="24"/>
                <w:highlight w:val="none"/>
              </w:rPr>
            </w:pPr>
          </w:p>
        </w:tc>
        <w:tc>
          <w:tcPr>
            <w:tcW w:w="224" w:type="pct"/>
            <w:vMerge w:val="continue"/>
            <w:noWrap/>
            <w:vAlign w:val="center"/>
          </w:tcPr>
          <w:p w14:paraId="2738195B">
            <w:pPr>
              <w:rPr>
                <w:rFonts w:hint="eastAsia" w:ascii="宋体" w:hAnsi="宋体" w:eastAsia="宋体" w:cs="宋体"/>
                <w:sz w:val="24"/>
                <w:szCs w:val="24"/>
                <w:highlight w:val="none"/>
              </w:rPr>
            </w:pPr>
          </w:p>
        </w:tc>
      </w:tr>
      <w:tr w14:paraId="70A4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025D97F4">
            <w:pPr>
              <w:rPr>
                <w:rFonts w:hint="eastAsia" w:ascii="宋体" w:hAnsi="宋体" w:eastAsia="宋体" w:cs="宋体"/>
                <w:sz w:val="24"/>
                <w:szCs w:val="24"/>
                <w:highlight w:val="none"/>
              </w:rPr>
            </w:pPr>
          </w:p>
        </w:tc>
        <w:tc>
          <w:tcPr>
            <w:tcW w:w="477" w:type="pct"/>
            <w:vMerge w:val="continue"/>
            <w:shd w:val="clear" w:color="auto" w:fill="auto"/>
            <w:noWrap/>
            <w:vAlign w:val="center"/>
          </w:tcPr>
          <w:p w14:paraId="50DE9CC4">
            <w:pPr>
              <w:rPr>
                <w:rFonts w:hint="eastAsia" w:ascii="宋体" w:hAnsi="宋体" w:eastAsia="宋体" w:cs="宋体"/>
                <w:sz w:val="24"/>
                <w:szCs w:val="24"/>
                <w:highlight w:val="none"/>
              </w:rPr>
            </w:pPr>
          </w:p>
        </w:tc>
        <w:tc>
          <w:tcPr>
            <w:tcW w:w="3546" w:type="pct"/>
            <w:shd w:val="clear" w:color="auto" w:fill="auto"/>
            <w:noWrap/>
          </w:tcPr>
          <w:p w14:paraId="402E6521">
            <w:pPr>
              <w:rPr>
                <w:rFonts w:hint="eastAsia" w:ascii="宋体" w:hAnsi="宋体" w:eastAsia="宋体" w:cs="宋体"/>
                <w:sz w:val="24"/>
                <w:szCs w:val="24"/>
                <w:highlight w:val="none"/>
              </w:rPr>
            </w:pPr>
            <w:r>
              <w:rPr>
                <w:rFonts w:hint="eastAsia" w:ascii="宋体" w:hAnsi="宋体" w:eastAsia="宋体" w:cs="宋体"/>
                <w:sz w:val="24"/>
                <w:szCs w:val="24"/>
                <w:highlight w:val="none"/>
              </w:rPr>
              <w:t>7.应承担餐卡收费系统与订餐系统的管理工作等服务，如发现违规操作，每次扣1分。</w:t>
            </w:r>
          </w:p>
        </w:tc>
        <w:tc>
          <w:tcPr>
            <w:tcW w:w="276" w:type="pct"/>
            <w:vMerge w:val="continue"/>
            <w:noWrap/>
            <w:vAlign w:val="center"/>
          </w:tcPr>
          <w:p w14:paraId="0C7DC059">
            <w:pPr>
              <w:rPr>
                <w:rFonts w:hint="eastAsia" w:ascii="宋体" w:hAnsi="宋体" w:eastAsia="宋体" w:cs="宋体"/>
                <w:sz w:val="24"/>
                <w:szCs w:val="24"/>
                <w:highlight w:val="none"/>
              </w:rPr>
            </w:pPr>
          </w:p>
        </w:tc>
        <w:tc>
          <w:tcPr>
            <w:tcW w:w="224" w:type="pct"/>
            <w:vMerge w:val="continue"/>
            <w:noWrap/>
            <w:vAlign w:val="center"/>
          </w:tcPr>
          <w:p w14:paraId="40688F97">
            <w:pPr>
              <w:rPr>
                <w:rFonts w:hint="eastAsia" w:ascii="宋体" w:hAnsi="宋体" w:eastAsia="宋体" w:cs="宋体"/>
                <w:sz w:val="24"/>
                <w:szCs w:val="24"/>
                <w:highlight w:val="none"/>
              </w:rPr>
            </w:pPr>
          </w:p>
        </w:tc>
      </w:tr>
      <w:tr w14:paraId="5B98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4" w:type="pct"/>
            <w:vMerge w:val="continue"/>
            <w:shd w:val="clear" w:color="auto" w:fill="auto"/>
            <w:noWrap/>
            <w:vAlign w:val="center"/>
          </w:tcPr>
          <w:p w14:paraId="20C180ED">
            <w:pPr>
              <w:rPr>
                <w:rFonts w:hint="eastAsia" w:ascii="宋体" w:hAnsi="宋体" w:eastAsia="宋体" w:cs="宋体"/>
                <w:sz w:val="24"/>
                <w:szCs w:val="24"/>
                <w:highlight w:val="none"/>
              </w:rPr>
            </w:pPr>
          </w:p>
        </w:tc>
        <w:tc>
          <w:tcPr>
            <w:tcW w:w="477" w:type="pct"/>
            <w:vMerge w:val="continue"/>
            <w:shd w:val="clear" w:color="auto" w:fill="auto"/>
            <w:noWrap/>
            <w:vAlign w:val="center"/>
          </w:tcPr>
          <w:p w14:paraId="735F6706">
            <w:pPr>
              <w:rPr>
                <w:rFonts w:hint="eastAsia" w:ascii="宋体" w:hAnsi="宋体" w:eastAsia="宋体" w:cs="宋体"/>
                <w:sz w:val="24"/>
                <w:szCs w:val="24"/>
                <w:highlight w:val="none"/>
              </w:rPr>
            </w:pPr>
          </w:p>
        </w:tc>
        <w:tc>
          <w:tcPr>
            <w:tcW w:w="3546" w:type="pct"/>
            <w:shd w:val="clear" w:color="auto" w:fill="auto"/>
            <w:noWrap/>
          </w:tcPr>
          <w:p w14:paraId="1C0FE216">
            <w:pPr>
              <w:rPr>
                <w:rFonts w:hint="eastAsia" w:ascii="宋体" w:hAnsi="宋体" w:eastAsia="宋体" w:cs="宋体"/>
                <w:sz w:val="24"/>
                <w:szCs w:val="24"/>
                <w:highlight w:val="none"/>
              </w:rPr>
            </w:pPr>
            <w:r>
              <w:rPr>
                <w:rFonts w:hint="eastAsia" w:ascii="宋体" w:hAnsi="宋体" w:eastAsia="宋体" w:cs="宋体"/>
                <w:sz w:val="24"/>
                <w:szCs w:val="24"/>
                <w:highlight w:val="none"/>
              </w:rPr>
              <w:t>8.应承担职工小卖部商品的售卖与管理工作，如因管理不善导致甲方损失，损失由乙方承担。</w:t>
            </w:r>
          </w:p>
        </w:tc>
        <w:tc>
          <w:tcPr>
            <w:tcW w:w="276" w:type="pct"/>
            <w:vMerge w:val="continue"/>
            <w:noWrap/>
            <w:vAlign w:val="center"/>
          </w:tcPr>
          <w:p w14:paraId="60698836">
            <w:pPr>
              <w:rPr>
                <w:rFonts w:hint="eastAsia" w:ascii="宋体" w:hAnsi="宋体" w:eastAsia="宋体" w:cs="宋体"/>
                <w:sz w:val="24"/>
                <w:szCs w:val="24"/>
                <w:highlight w:val="none"/>
              </w:rPr>
            </w:pPr>
          </w:p>
        </w:tc>
        <w:tc>
          <w:tcPr>
            <w:tcW w:w="224" w:type="pct"/>
            <w:vMerge w:val="continue"/>
            <w:noWrap/>
            <w:vAlign w:val="center"/>
          </w:tcPr>
          <w:p w14:paraId="36685C5C">
            <w:pPr>
              <w:rPr>
                <w:rFonts w:hint="eastAsia" w:ascii="宋体" w:hAnsi="宋体" w:eastAsia="宋体" w:cs="宋体"/>
                <w:sz w:val="24"/>
                <w:szCs w:val="24"/>
                <w:highlight w:val="none"/>
              </w:rPr>
            </w:pPr>
          </w:p>
        </w:tc>
      </w:tr>
      <w:tr w14:paraId="620C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74" w:type="pct"/>
            <w:vMerge w:val="continue"/>
            <w:shd w:val="clear" w:color="auto" w:fill="auto"/>
            <w:noWrap/>
            <w:vAlign w:val="center"/>
          </w:tcPr>
          <w:p w14:paraId="473E757D">
            <w:pPr>
              <w:rPr>
                <w:rFonts w:hint="eastAsia" w:ascii="宋体" w:hAnsi="宋体" w:eastAsia="宋体" w:cs="宋体"/>
                <w:sz w:val="24"/>
                <w:szCs w:val="24"/>
                <w:highlight w:val="none"/>
              </w:rPr>
            </w:pPr>
          </w:p>
        </w:tc>
        <w:tc>
          <w:tcPr>
            <w:tcW w:w="477" w:type="pct"/>
            <w:vMerge w:val="continue"/>
            <w:shd w:val="clear" w:color="auto" w:fill="auto"/>
            <w:noWrap/>
            <w:vAlign w:val="center"/>
          </w:tcPr>
          <w:p w14:paraId="5A6B1F8E">
            <w:pPr>
              <w:rPr>
                <w:rFonts w:hint="eastAsia" w:ascii="宋体" w:hAnsi="宋体" w:eastAsia="宋体" w:cs="宋体"/>
                <w:sz w:val="24"/>
                <w:szCs w:val="24"/>
                <w:highlight w:val="none"/>
              </w:rPr>
            </w:pPr>
          </w:p>
        </w:tc>
        <w:tc>
          <w:tcPr>
            <w:tcW w:w="3546" w:type="pct"/>
            <w:shd w:val="clear" w:color="auto" w:fill="auto"/>
            <w:noWrap/>
          </w:tcPr>
          <w:p w14:paraId="69888055">
            <w:pPr>
              <w:rPr>
                <w:rFonts w:hint="eastAsia" w:ascii="宋体" w:hAnsi="宋体" w:eastAsia="宋体" w:cs="宋体"/>
                <w:sz w:val="24"/>
                <w:szCs w:val="24"/>
                <w:highlight w:val="none"/>
              </w:rPr>
            </w:pPr>
            <w:r>
              <w:rPr>
                <w:rFonts w:hint="eastAsia" w:ascii="宋体" w:hAnsi="宋体" w:eastAsia="宋体" w:cs="宋体"/>
                <w:sz w:val="24"/>
                <w:szCs w:val="24"/>
                <w:highlight w:val="none"/>
              </w:rPr>
              <w:t>9.病人餐的配送人员须与餐厅驻场的服务人员进行区分，不得利用驻场的工作人员进行配送，如发现违规操作，每次扣3分。</w:t>
            </w:r>
          </w:p>
        </w:tc>
        <w:tc>
          <w:tcPr>
            <w:tcW w:w="276" w:type="pct"/>
            <w:vMerge w:val="continue"/>
            <w:noWrap/>
            <w:vAlign w:val="center"/>
          </w:tcPr>
          <w:p w14:paraId="610FF253">
            <w:pPr>
              <w:rPr>
                <w:rFonts w:hint="eastAsia" w:ascii="宋体" w:hAnsi="宋体" w:eastAsia="宋体" w:cs="宋体"/>
                <w:sz w:val="24"/>
                <w:szCs w:val="24"/>
                <w:highlight w:val="none"/>
              </w:rPr>
            </w:pPr>
          </w:p>
        </w:tc>
        <w:tc>
          <w:tcPr>
            <w:tcW w:w="224" w:type="pct"/>
            <w:vMerge w:val="continue"/>
            <w:noWrap/>
            <w:vAlign w:val="center"/>
          </w:tcPr>
          <w:p w14:paraId="7000B499">
            <w:pPr>
              <w:rPr>
                <w:rFonts w:hint="eastAsia" w:ascii="宋体" w:hAnsi="宋体" w:eastAsia="宋体" w:cs="宋体"/>
                <w:sz w:val="24"/>
                <w:szCs w:val="24"/>
                <w:highlight w:val="none"/>
              </w:rPr>
            </w:pPr>
          </w:p>
        </w:tc>
      </w:tr>
      <w:tr w14:paraId="5EC1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474" w:type="pct"/>
            <w:vMerge w:val="restart"/>
            <w:shd w:val="clear" w:color="auto" w:fill="auto"/>
            <w:noWrap/>
            <w:vAlign w:val="center"/>
          </w:tcPr>
          <w:p w14:paraId="17D7F2BD">
            <w:pPr>
              <w:rPr>
                <w:rFonts w:hint="eastAsia" w:ascii="宋体" w:hAnsi="宋体" w:eastAsia="宋体" w:cs="宋体"/>
                <w:sz w:val="24"/>
                <w:szCs w:val="24"/>
                <w:highlight w:val="none"/>
              </w:rPr>
            </w:pPr>
            <w:r>
              <w:rPr>
                <w:rFonts w:hint="eastAsia" w:ascii="宋体" w:hAnsi="宋体" w:eastAsia="宋体" w:cs="宋体"/>
                <w:sz w:val="24"/>
                <w:szCs w:val="24"/>
                <w:highlight w:val="none"/>
              </w:rPr>
              <w:t>满意度反馈（15）</w:t>
            </w:r>
          </w:p>
        </w:tc>
        <w:tc>
          <w:tcPr>
            <w:tcW w:w="477" w:type="pct"/>
            <w:vMerge w:val="restart"/>
            <w:shd w:val="clear" w:color="auto" w:fill="auto"/>
            <w:noWrap/>
            <w:vAlign w:val="center"/>
          </w:tcPr>
          <w:p w14:paraId="5F77881D">
            <w:pPr>
              <w:rPr>
                <w:rFonts w:hint="eastAsia" w:ascii="宋体" w:hAnsi="宋体" w:eastAsia="宋体" w:cs="宋体"/>
                <w:sz w:val="24"/>
                <w:szCs w:val="24"/>
                <w:highlight w:val="none"/>
              </w:rPr>
            </w:pPr>
            <w:r>
              <w:rPr>
                <w:rFonts w:hint="eastAsia" w:ascii="宋体" w:hAnsi="宋体" w:eastAsia="宋体" w:cs="宋体"/>
                <w:sz w:val="24"/>
                <w:szCs w:val="24"/>
                <w:highlight w:val="none"/>
              </w:rPr>
              <w:t>就餐满意度</w:t>
            </w:r>
          </w:p>
        </w:tc>
        <w:tc>
          <w:tcPr>
            <w:tcW w:w="3546" w:type="pct"/>
            <w:shd w:val="clear" w:color="auto" w:fill="auto"/>
            <w:noWrap/>
          </w:tcPr>
          <w:p w14:paraId="3AC9A125">
            <w:pPr>
              <w:rPr>
                <w:rFonts w:hint="eastAsia" w:ascii="宋体" w:hAnsi="宋体" w:eastAsia="宋体" w:cs="宋体"/>
                <w:sz w:val="24"/>
                <w:szCs w:val="24"/>
                <w:highlight w:val="none"/>
              </w:rPr>
            </w:pPr>
            <w:r>
              <w:rPr>
                <w:rFonts w:hint="eastAsia" w:ascii="宋体" w:hAnsi="宋体" w:eastAsia="宋体" w:cs="宋体"/>
                <w:sz w:val="24"/>
                <w:szCs w:val="24"/>
                <w:highlight w:val="none"/>
              </w:rPr>
              <w:t>1.在就餐时段邀请员工在餐厅现场扫码进行问卷调查，一个月最低样本不低于50份（无上限），满意度在90分以上不扣分、满意度在80-89分之间扣3分，满意度在75-79分之间扣5分，满意度低于75分扣10分。</w:t>
            </w:r>
          </w:p>
        </w:tc>
        <w:tc>
          <w:tcPr>
            <w:tcW w:w="276" w:type="pct"/>
            <w:vMerge w:val="restart"/>
            <w:shd w:val="clear" w:color="auto" w:fill="auto"/>
            <w:noWrap/>
            <w:vAlign w:val="center"/>
          </w:tcPr>
          <w:p w14:paraId="4DD9AABD">
            <w:pP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24" w:type="pct"/>
            <w:vMerge w:val="restart"/>
            <w:shd w:val="clear" w:color="auto" w:fill="auto"/>
            <w:noWrap/>
          </w:tcPr>
          <w:p w14:paraId="1CD04696">
            <w:pPr>
              <w:rPr>
                <w:rFonts w:hint="eastAsia" w:ascii="宋体" w:hAnsi="宋体" w:eastAsia="宋体" w:cs="宋体"/>
                <w:sz w:val="24"/>
                <w:szCs w:val="24"/>
                <w:highlight w:val="none"/>
              </w:rPr>
            </w:pPr>
          </w:p>
        </w:tc>
      </w:tr>
      <w:tr w14:paraId="6A89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536D4BF1">
            <w:pPr>
              <w:rPr>
                <w:rFonts w:hint="eastAsia" w:ascii="宋体" w:hAnsi="宋体" w:eastAsia="宋体" w:cs="宋体"/>
                <w:sz w:val="24"/>
                <w:szCs w:val="24"/>
                <w:highlight w:val="none"/>
              </w:rPr>
            </w:pPr>
          </w:p>
        </w:tc>
        <w:tc>
          <w:tcPr>
            <w:tcW w:w="477" w:type="pct"/>
            <w:vMerge w:val="continue"/>
            <w:shd w:val="clear" w:color="auto" w:fill="auto"/>
            <w:noWrap/>
            <w:vAlign w:val="center"/>
          </w:tcPr>
          <w:p w14:paraId="740D41E8">
            <w:pPr>
              <w:rPr>
                <w:rFonts w:hint="eastAsia" w:ascii="宋体" w:hAnsi="宋体" w:eastAsia="宋体" w:cs="宋体"/>
                <w:sz w:val="24"/>
                <w:szCs w:val="24"/>
                <w:highlight w:val="none"/>
              </w:rPr>
            </w:pPr>
          </w:p>
        </w:tc>
        <w:tc>
          <w:tcPr>
            <w:tcW w:w="3546" w:type="pct"/>
            <w:shd w:val="clear" w:color="auto" w:fill="auto"/>
            <w:noWrap/>
          </w:tcPr>
          <w:p w14:paraId="1907DF8F">
            <w:pPr>
              <w:rPr>
                <w:rFonts w:hint="eastAsia" w:ascii="宋体" w:hAnsi="宋体" w:eastAsia="宋体" w:cs="宋体"/>
                <w:sz w:val="24"/>
                <w:szCs w:val="24"/>
                <w:highlight w:val="none"/>
              </w:rPr>
            </w:pPr>
            <w:r>
              <w:rPr>
                <w:rFonts w:hint="eastAsia" w:ascii="宋体" w:hAnsi="宋体" w:eastAsia="宋体" w:cs="宋体"/>
                <w:sz w:val="24"/>
                <w:szCs w:val="24"/>
                <w:highlight w:val="none"/>
              </w:rPr>
              <w:t>2.应每月向全院职工和住院病人及家属进行满意度调查，调查人数职工不得低于100人，病人不低于50人，其中：</w:t>
            </w:r>
          </w:p>
        </w:tc>
        <w:tc>
          <w:tcPr>
            <w:tcW w:w="276" w:type="pct"/>
            <w:vMerge w:val="continue"/>
            <w:noWrap/>
            <w:vAlign w:val="center"/>
          </w:tcPr>
          <w:p w14:paraId="7B962C5C">
            <w:pPr>
              <w:rPr>
                <w:rFonts w:hint="eastAsia" w:ascii="宋体" w:hAnsi="宋体" w:eastAsia="宋体" w:cs="宋体"/>
                <w:sz w:val="24"/>
                <w:szCs w:val="24"/>
                <w:highlight w:val="none"/>
              </w:rPr>
            </w:pPr>
          </w:p>
        </w:tc>
        <w:tc>
          <w:tcPr>
            <w:tcW w:w="224" w:type="pct"/>
            <w:vMerge w:val="continue"/>
            <w:noWrap/>
            <w:vAlign w:val="center"/>
          </w:tcPr>
          <w:p w14:paraId="2AE994A1">
            <w:pPr>
              <w:rPr>
                <w:rFonts w:hint="eastAsia" w:ascii="宋体" w:hAnsi="宋体" w:eastAsia="宋体" w:cs="宋体"/>
                <w:sz w:val="24"/>
                <w:szCs w:val="24"/>
                <w:highlight w:val="none"/>
              </w:rPr>
            </w:pPr>
          </w:p>
        </w:tc>
      </w:tr>
      <w:tr w14:paraId="0106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19126878">
            <w:pPr>
              <w:rPr>
                <w:rFonts w:hint="eastAsia" w:ascii="宋体" w:hAnsi="宋体" w:eastAsia="宋体" w:cs="宋体"/>
                <w:sz w:val="24"/>
                <w:szCs w:val="24"/>
                <w:highlight w:val="none"/>
              </w:rPr>
            </w:pPr>
          </w:p>
        </w:tc>
        <w:tc>
          <w:tcPr>
            <w:tcW w:w="477" w:type="pct"/>
            <w:vMerge w:val="continue"/>
            <w:shd w:val="clear" w:color="auto" w:fill="auto"/>
            <w:noWrap/>
            <w:vAlign w:val="center"/>
          </w:tcPr>
          <w:p w14:paraId="273F5C1B">
            <w:pPr>
              <w:rPr>
                <w:rFonts w:hint="eastAsia" w:ascii="宋体" w:hAnsi="宋体" w:eastAsia="宋体" w:cs="宋体"/>
                <w:sz w:val="24"/>
                <w:szCs w:val="24"/>
                <w:highlight w:val="none"/>
              </w:rPr>
            </w:pPr>
          </w:p>
        </w:tc>
        <w:tc>
          <w:tcPr>
            <w:tcW w:w="3546" w:type="pct"/>
            <w:shd w:val="clear" w:color="auto" w:fill="auto"/>
            <w:noWrap/>
          </w:tcPr>
          <w:p w14:paraId="13DBE847">
            <w:pPr>
              <w:rPr>
                <w:rFonts w:hint="eastAsia" w:ascii="宋体" w:hAnsi="宋体" w:eastAsia="宋体" w:cs="宋体"/>
                <w:sz w:val="24"/>
                <w:szCs w:val="24"/>
                <w:highlight w:val="none"/>
              </w:rPr>
            </w:pPr>
            <w:r>
              <w:rPr>
                <w:rFonts w:hint="eastAsia" w:ascii="宋体" w:hAnsi="宋体" w:eastAsia="宋体" w:cs="宋体"/>
                <w:sz w:val="24"/>
                <w:szCs w:val="24"/>
                <w:highlight w:val="none"/>
              </w:rPr>
              <w:t>3.职工餐满意度在90分以上不扣分、满意度在80-89分之间扣3分，满意度在75-79分之间扣5分，满意度低于75分扣10分。</w:t>
            </w:r>
          </w:p>
        </w:tc>
        <w:tc>
          <w:tcPr>
            <w:tcW w:w="276" w:type="pct"/>
            <w:vMerge w:val="continue"/>
            <w:noWrap/>
            <w:vAlign w:val="center"/>
          </w:tcPr>
          <w:p w14:paraId="36E07927">
            <w:pPr>
              <w:rPr>
                <w:rFonts w:hint="eastAsia" w:ascii="宋体" w:hAnsi="宋体" w:eastAsia="宋体" w:cs="宋体"/>
                <w:sz w:val="24"/>
                <w:szCs w:val="24"/>
                <w:highlight w:val="none"/>
              </w:rPr>
            </w:pPr>
          </w:p>
        </w:tc>
        <w:tc>
          <w:tcPr>
            <w:tcW w:w="224" w:type="pct"/>
            <w:vMerge w:val="continue"/>
            <w:noWrap/>
            <w:vAlign w:val="center"/>
          </w:tcPr>
          <w:p w14:paraId="543B2738">
            <w:pPr>
              <w:rPr>
                <w:rFonts w:hint="eastAsia" w:ascii="宋体" w:hAnsi="宋体" w:eastAsia="宋体" w:cs="宋体"/>
                <w:sz w:val="24"/>
                <w:szCs w:val="24"/>
                <w:highlight w:val="none"/>
              </w:rPr>
            </w:pPr>
          </w:p>
        </w:tc>
      </w:tr>
      <w:tr w14:paraId="242A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57145282">
            <w:pPr>
              <w:rPr>
                <w:rFonts w:hint="eastAsia" w:ascii="宋体" w:hAnsi="宋体" w:eastAsia="宋体" w:cs="宋体"/>
                <w:sz w:val="24"/>
                <w:szCs w:val="24"/>
                <w:highlight w:val="none"/>
              </w:rPr>
            </w:pPr>
          </w:p>
        </w:tc>
        <w:tc>
          <w:tcPr>
            <w:tcW w:w="477" w:type="pct"/>
            <w:vMerge w:val="continue"/>
            <w:shd w:val="clear" w:color="auto" w:fill="auto"/>
            <w:noWrap/>
            <w:vAlign w:val="center"/>
          </w:tcPr>
          <w:p w14:paraId="0A1733C8">
            <w:pPr>
              <w:rPr>
                <w:rFonts w:hint="eastAsia" w:ascii="宋体" w:hAnsi="宋体" w:eastAsia="宋体" w:cs="宋体"/>
                <w:sz w:val="24"/>
                <w:szCs w:val="24"/>
                <w:highlight w:val="none"/>
              </w:rPr>
            </w:pPr>
          </w:p>
        </w:tc>
        <w:tc>
          <w:tcPr>
            <w:tcW w:w="3546" w:type="pct"/>
            <w:shd w:val="clear" w:color="auto" w:fill="auto"/>
            <w:noWrap/>
          </w:tcPr>
          <w:p w14:paraId="0E984A06">
            <w:pPr>
              <w:rPr>
                <w:rFonts w:hint="eastAsia" w:ascii="宋体" w:hAnsi="宋体" w:eastAsia="宋体" w:cs="宋体"/>
                <w:sz w:val="24"/>
                <w:szCs w:val="24"/>
                <w:highlight w:val="none"/>
              </w:rPr>
            </w:pPr>
            <w:r>
              <w:rPr>
                <w:rFonts w:hint="eastAsia" w:ascii="宋体" w:hAnsi="宋体" w:eastAsia="宋体" w:cs="宋体"/>
                <w:sz w:val="24"/>
                <w:szCs w:val="24"/>
                <w:highlight w:val="none"/>
              </w:rPr>
              <w:t>4.病人餐满意度在80分以上不扣分、满意度在70-79分之间扣3分，满意度在60-69分之间扣5分，满意度低于60分扣10分。</w:t>
            </w:r>
          </w:p>
        </w:tc>
        <w:tc>
          <w:tcPr>
            <w:tcW w:w="276" w:type="pct"/>
            <w:vMerge w:val="continue"/>
            <w:noWrap/>
            <w:vAlign w:val="center"/>
          </w:tcPr>
          <w:p w14:paraId="60E3C4B8">
            <w:pPr>
              <w:rPr>
                <w:rFonts w:hint="eastAsia" w:ascii="宋体" w:hAnsi="宋体" w:eastAsia="宋体" w:cs="宋体"/>
                <w:sz w:val="24"/>
                <w:szCs w:val="24"/>
                <w:highlight w:val="none"/>
              </w:rPr>
            </w:pPr>
          </w:p>
        </w:tc>
        <w:tc>
          <w:tcPr>
            <w:tcW w:w="224" w:type="pct"/>
            <w:vMerge w:val="continue"/>
            <w:noWrap/>
            <w:vAlign w:val="center"/>
          </w:tcPr>
          <w:p w14:paraId="4BB7C202">
            <w:pPr>
              <w:rPr>
                <w:rFonts w:hint="eastAsia" w:ascii="宋体" w:hAnsi="宋体" w:eastAsia="宋体" w:cs="宋体"/>
                <w:sz w:val="24"/>
                <w:szCs w:val="24"/>
                <w:highlight w:val="none"/>
              </w:rPr>
            </w:pPr>
          </w:p>
        </w:tc>
      </w:tr>
      <w:tr w14:paraId="0AD1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74" w:type="pct"/>
            <w:vMerge w:val="continue"/>
            <w:shd w:val="clear" w:color="auto" w:fill="auto"/>
            <w:noWrap/>
            <w:vAlign w:val="center"/>
          </w:tcPr>
          <w:p w14:paraId="6A5AADC7">
            <w:pPr>
              <w:rPr>
                <w:rFonts w:hint="eastAsia" w:ascii="宋体" w:hAnsi="宋体" w:eastAsia="宋体" w:cs="宋体"/>
                <w:sz w:val="24"/>
                <w:szCs w:val="24"/>
                <w:highlight w:val="none"/>
              </w:rPr>
            </w:pPr>
          </w:p>
        </w:tc>
        <w:tc>
          <w:tcPr>
            <w:tcW w:w="477" w:type="pct"/>
            <w:vMerge w:val="continue"/>
            <w:shd w:val="clear" w:color="auto" w:fill="auto"/>
            <w:noWrap/>
            <w:vAlign w:val="center"/>
          </w:tcPr>
          <w:p w14:paraId="3391DB9F">
            <w:pPr>
              <w:rPr>
                <w:rFonts w:hint="eastAsia" w:ascii="宋体" w:hAnsi="宋体" w:eastAsia="宋体" w:cs="宋体"/>
                <w:sz w:val="24"/>
                <w:szCs w:val="24"/>
                <w:highlight w:val="none"/>
              </w:rPr>
            </w:pPr>
          </w:p>
        </w:tc>
        <w:tc>
          <w:tcPr>
            <w:tcW w:w="3546" w:type="pct"/>
            <w:shd w:val="clear" w:color="auto" w:fill="auto"/>
            <w:noWrap/>
          </w:tcPr>
          <w:p w14:paraId="1EF7360B">
            <w:pPr>
              <w:rPr>
                <w:rFonts w:hint="eastAsia" w:ascii="宋体" w:hAnsi="宋体" w:eastAsia="宋体" w:cs="宋体"/>
                <w:sz w:val="24"/>
                <w:szCs w:val="24"/>
                <w:highlight w:val="none"/>
              </w:rPr>
            </w:pPr>
            <w:r>
              <w:rPr>
                <w:rFonts w:hint="eastAsia" w:ascii="宋体" w:hAnsi="宋体" w:eastAsia="宋体" w:cs="宋体"/>
                <w:sz w:val="24"/>
                <w:szCs w:val="24"/>
                <w:highlight w:val="none"/>
              </w:rPr>
              <w:t>5.在职工餐调查结果满意度低于80分或病人餐满意度低于70分时，应在1周内提交书面分析报告及整改措施，如未按时提交，每次扣5分。</w:t>
            </w:r>
          </w:p>
        </w:tc>
        <w:tc>
          <w:tcPr>
            <w:tcW w:w="276" w:type="pct"/>
            <w:vMerge w:val="continue"/>
            <w:noWrap/>
            <w:vAlign w:val="center"/>
          </w:tcPr>
          <w:p w14:paraId="19B7EDE1">
            <w:pPr>
              <w:rPr>
                <w:rFonts w:hint="eastAsia" w:ascii="宋体" w:hAnsi="宋体" w:eastAsia="宋体" w:cs="宋体"/>
                <w:sz w:val="24"/>
                <w:szCs w:val="24"/>
                <w:highlight w:val="none"/>
              </w:rPr>
            </w:pPr>
          </w:p>
        </w:tc>
        <w:tc>
          <w:tcPr>
            <w:tcW w:w="224" w:type="pct"/>
            <w:vMerge w:val="continue"/>
            <w:noWrap/>
            <w:vAlign w:val="center"/>
          </w:tcPr>
          <w:p w14:paraId="69B5C644">
            <w:pPr>
              <w:rPr>
                <w:rFonts w:hint="eastAsia" w:ascii="宋体" w:hAnsi="宋体" w:eastAsia="宋体" w:cs="宋体"/>
                <w:sz w:val="24"/>
                <w:szCs w:val="24"/>
                <w:highlight w:val="none"/>
              </w:rPr>
            </w:pPr>
          </w:p>
        </w:tc>
      </w:tr>
      <w:tr w14:paraId="2EA7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7E892828">
            <w:pPr>
              <w:rPr>
                <w:rFonts w:hint="eastAsia" w:ascii="宋体" w:hAnsi="宋体" w:eastAsia="宋体" w:cs="宋体"/>
                <w:sz w:val="24"/>
                <w:szCs w:val="24"/>
                <w:highlight w:val="none"/>
              </w:rPr>
            </w:pPr>
          </w:p>
        </w:tc>
        <w:tc>
          <w:tcPr>
            <w:tcW w:w="477" w:type="pct"/>
            <w:vMerge w:val="restart"/>
            <w:shd w:val="clear" w:color="auto" w:fill="auto"/>
            <w:noWrap/>
            <w:vAlign w:val="center"/>
          </w:tcPr>
          <w:p w14:paraId="6B6C5E7F">
            <w:pPr>
              <w:rPr>
                <w:rFonts w:hint="eastAsia" w:ascii="宋体" w:hAnsi="宋体" w:eastAsia="宋体" w:cs="宋体"/>
                <w:sz w:val="24"/>
                <w:szCs w:val="24"/>
                <w:highlight w:val="none"/>
              </w:rPr>
            </w:pPr>
            <w:r>
              <w:rPr>
                <w:rFonts w:hint="eastAsia" w:ascii="宋体" w:hAnsi="宋体" w:eastAsia="宋体" w:cs="宋体"/>
                <w:sz w:val="24"/>
                <w:szCs w:val="24"/>
                <w:highlight w:val="none"/>
              </w:rPr>
              <w:t>就餐投诉率</w:t>
            </w:r>
          </w:p>
        </w:tc>
        <w:tc>
          <w:tcPr>
            <w:tcW w:w="3546" w:type="pct"/>
            <w:shd w:val="clear" w:color="auto" w:fill="auto"/>
            <w:noWrap/>
          </w:tcPr>
          <w:p w14:paraId="133324B2">
            <w:pPr>
              <w:rPr>
                <w:rFonts w:hint="eastAsia" w:ascii="宋体" w:hAnsi="宋体" w:eastAsia="宋体" w:cs="宋体"/>
                <w:sz w:val="24"/>
                <w:szCs w:val="24"/>
                <w:highlight w:val="none"/>
              </w:rPr>
            </w:pPr>
            <w:r>
              <w:rPr>
                <w:rFonts w:hint="eastAsia" w:ascii="宋体" w:hAnsi="宋体" w:eastAsia="宋体" w:cs="宋体"/>
                <w:sz w:val="24"/>
                <w:szCs w:val="24"/>
                <w:highlight w:val="none"/>
              </w:rPr>
              <w:t>1.收到甲方职工或病人合理的投诉（如出品质量、配餐服务等），每次扣1分（如投诉内容已在其他考核标准扣分，本项不再扣分）。</w:t>
            </w:r>
          </w:p>
        </w:tc>
        <w:tc>
          <w:tcPr>
            <w:tcW w:w="276" w:type="pct"/>
            <w:vMerge w:val="restart"/>
            <w:shd w:val="clear" w:color="auto" w:fill="auto"/>
            <w:noWrap/>
            <w:vAlign w:val="center"/>
          </w:tcPr>
          <w:p w14:paraId="4FAA908F">
            <w:pP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24" w:type="pct"/>
            <w:vMerge w:val="restart"/>
            <w:shd w:val="clear" w:color="auto" w:fill="auto"/>
            <w:noWrap/>
          </w:tcPr>
          <w:p w14:paraId="25A794C4">
            <w:pPr>
              <w:rPr>
                <w:rFonts w:hint="eastAsia" w:ascii="宋体" w:hAnsi="宋体" w:eastAsia="宋体" w:cs="宋体"/>
                <w:sz w:val="24"/>
                <w:szCs w:val="24"/>
                <w:highlight w:val="none"/>
              </w:rPr>
            </w:pPr>
          </w:p>
        </w:tc>
      </w:tr>
      <w:tr w14:paraId="3A3D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376F1993">
            <w:pPr>
              <w:rPr>
                <w:rFonts w:hint="eastAsia" w:ascii="宋体" w:hAnsi="宋体" w:eastAsia="宋体" w:cs="宋体"/>
                <w:sz w:val="24"/>
                <w:szCs w:val="24"/>
                <w:highlight w:val="none"/>
              </w:rPr>
            </w:pPr>
          </w:p>
        </w:tc>
        <w:tc>
          <w:tcPr>
            <w:tcW w:w="477" w:type="pct"/>
            <w:vMerge w:val="continue"/>
            <w:shd w:val="clear" w:color="auto" w:fill="auto"/>
            <w:noWrap/>
            <w:vAlign w:val="center"/>
          </w:tcPr>
          <w:p w14:paraId="68797907">
            <w:pPr>
              <w:rPr>
                <w:rFonts w:hint="eastAsia" w:ascii="宋体" w:hAnsi="宋体" w:eastAsia="宋体" w:cs="宋体"/>
                <w:sz w:val="24"/>
                <w:szCs w:val="24"/>
                <w:highlight w:val="none"/>
              </w:rPr>
            </w:pPr>
          </w:p>
        </w:tc>
        <w:tc>
          <w:tcPr>
            <w:tcW w:w="3546" w:type="pct"/>
            <w:shd w:val="clear" w:color="auto" w:fill="auto"/>
            <w:noWrap/>
          </w:tcPr>
          <w:p w14:paraId="5E72A713">
            <w:pPr>
              <w:rPr>
                <w:rFonts w:hint="eastAsia" w:ascii="宋体" w:hAnsi="宋体" w:eastAsia="宋体" w:cs="宋体"/>
                <w:sz w:val="24"/>
                <w:szCs w:val="24"/>
                <w:highlight w:val="none"/>
              </w:rPr>
            </w:pPr>
            <w:r>
              <w:rPr>
                <w:rFonts w:hint="eastAsia" w:ascii="宋体" w:hAnsi="宋体" w:eastAsia="宋体" w:cs="宋体"/>
                <w:sz w:val="24"/>
                <w:szCs w:val="24"/>
                <w:highlight w:val="none"/>
              </w:rPr>
              <w:t>2.收到甲方职工或病人关于服务态度方面的投诉，每次扣1分。</w:t>
            </w:r>
          </w:p>
        </w:tc>
        <w:tc>
          <w:tcPr>
            <w:tcW w:w="276" w:type="pct"/>
            <w:vMerge w:val="continue"/>
            <w:noWrap/>
            <w:vAlign w:val="center"/>
          </w:tcPr>
          <w:p w14:paraId="663E12A3">
            <w:pPr>
              <w:rPr>
                <w:rFonts w:hint="eastAsia" w:ascii="宋体" w:hAnsi="宋体" w:eastAsia="宋体" w:cs="宋体"/>
                <w:sz w:val="24"/>
                <w:szCs w:val="24"/>
                <w:highlight w:val="none"/>
              </w:rPr>
            </w:pPr>
          </w:p>
        </w:tc>
        <w:tc>
          <w:tcPr>
            <w:tcW w:w="224" w:type="pct"/>
            <w:vMerge w:val="continue"/>
            <w:noWrap/>
            <w:vAlign w:val="center"/>
          </w:tcPr>
          <w:p w14:paraId="7BFCEC56">
            <w:pPr>
              <w:rPr>
                <w:rFonts w:hint="eastAsia" w:ascii="宋体" w:hAnsi="宋体" w:eastAsia="宋体" w:cs="宋体"/>
                <w:sz w:val="24"/>
                <w:szCs w:val="24"/>
                <w:highlight w:val="none"/>
              </w:rPr>
            </w:pPr>
          </w:p>
        </w:tc>
      </w:tr>
      <w:tr w14:paraId="398B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08638CAA">
            <w:pPr>
              <w:rPr>
                <w:rFonts w:hint="eastAsia" w:ascii="宋体" w:hAnsi="宋体" w:eastAsia="宋体" w:cs="宋体"/>
                <w:sz w:val="24"/>
                <w:szCs w:val="24"/>
                <w:highlight w:val="none"/>
              </w:rPr>
            </w:pPr>
          </w:p>
        </w:tc>
        <w:tc>
          <w:tcPr>
            <w:tcW w:w="477" w:type="pct"/>
            <w:vMerge w:val="continue"/>
            <w:shd w:val="clear" w:color="auto" w:fill="auto"/>
            <w:noWrap/>
            <w:vAlign w:val="center"/>
          </w:tcPr>
          <w:p w14:paraId="5C17E75A">
            <w:pPr>
              <w:rPr>
                <w:rFonts w:hint="eastAsia" w:ascii="宋体" w:hAnsi="宋体" w:eastAsia="宋体" w:cs="宋体"/>
                <w:sz w:val="24"/>
                <w:szCs w:val="24"/>
                <w:highlight w:val="none"/>
              </w:rPr>
            </w:pPr>
          </w:p>
        </w:tc>
        <w:tc>
          <w:tcPr>
            <w:tcW w:w="3546" w:type="pct"/>
            <w:shd w:val="clear" w:color="auto" w:fill="auto"/>
            <w:noWrap/>
          </w:tcPr>
          <w:p w14:paraId="181C3E6B">
            <w:pPr>
              <w:rPr>
                <w:rFonts w:hint="eastAsia" w:ascii="宋体" w:hAnsi="宋体" w:eastAsia="宋体" w:cs="宋体"/>
                <w:sz w:val="24"/>
                <w:szCs w:val="24"/>
                <w:highlight w:val="none"/>
              </w:rPr>
            </w:pPr>
            <w:r>
              <w:rPr>
                <w:rFonts w:hint="eastAsia" w:ascii="宋体" w:hAnsi="宋体" w:eastAsia="宋体" w:cs="宋体"/>
                <w:sz w:val="24"/>
                <w:szCs w:val="24"/>
                <w:highlight w:val="none"/>
              </w:rPr>
              <w:t>3.收到与职工或病人及家属争吵的投诉，每次扣2分。</w:t>
            </w:r>
          </w:p>
        </w:tc>
        <w:tc>
          <w:tcPr>
            <w:tcW w:w="276" w:type="pct"/>
            <w:vMerge w:val="continue"/>
            <w:noWrap/>
            <w:vAlign w:val="center"/>
          </w:tcPr>
          <w:p w14:paraId="3E699340">
            <w:pPr>
              <w:rPr>
                <w:rFonts w:hint="eastAsia" w:ascii="宋体" w:hAnsi="宋体" w:eastAsia="宋体" w:cs="宋体"/>
                <w:sz w:val="24"/>
                <w:szCs w:val="24"/>
                <w:highlight w:val="none"/>
              </w:rPr>
            </w:pPr>
          </w:p>
        </w:tc>
        <w:tc>
          <w:tcPr>
            <w:tcW w:w="224" w:type="pct"/>
            <w:vMerge w:val="continue"/>
            <w:noWrap/>
            <w:vAlign w:val="center"/>
          </w:tcPr>
          <w:p w14:paraId="4FD39271">
            <w:pPr>
              <w:rPr>
                <w:rFonts w:hint="eastAsia" w:ascii="宋体" w:hAnsi="宋体" w:eastAsia="宋体" w:cs="宋体"/>
                <w:sz w:val="24"/>
                <w:szCs w:val="24"/>
                <w:highlight w:val="none"/>
              </w:rPr>
            </w:pPr>
          </w:p>
        </w:tc>
      </w:tr>
      <w:tr w14:paraId="648E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74" w:type="pct"/>
            <w:vMerge w:val="continue"/>
            <w:shd w:val="clear" w:color="auto" w:fill="auto"/>
            <w:noWrap/>
            <w:vAlign w:val="center"/>
          </w:tcPr>
          <w:p w14:paraId="692C6A7D">
            <w:pPr>
              <w:rPr>
                <w:rFonts w:hint="eastAsia" w:ascii="宋体" w:hAnsi="宋体" w:eastAsia="宋体" w:cs="宋体"/>
                <w:sz w:val="24"/>
                <w:szCs w:val="24"/>
                <w:highlight w:val="none"/>
              </w:rPr>
            </w:pPr>
          </w:p>
        </w:tc>
        <w:tc>
          <w:tcPr>
            <w:tcW w:w="477" w:type="pct"/>
            <w:vMerge w:val="continue"/>
            <w:shd w:val="clear" w:color="auto" w:fill="auto"/>
            <w:noWrap/>
            <w:vAlign w:val="center"/>
          </w:tcPr>
          <w:p w14:paraId="2D5092F2">
            <w:pPr>
              <w:rPr>
                <w:rFonts w:hint="eastAsia" w:ascii="宋体" w:hAnsi="宋体" w:eastAsia="宋体" w:cs="宋体"/>
                <w:sz w:val="24"/>
                <w:szCs w:val="24"/>
                <w:highlight w:val="none"/>
              </w:rPr>
            </w:pPr>
          </w:p>
        </w:tc>
        <w:tc>
          <w:tcPr>
            <w:tcW w:w="3546" w:type="pct"/>
            <w:shd w:val="clear" w:color="auto" w:fill="auto"/>
            <w:noWrap/>
          </w:tcPr>
          <w:p w14:paraId="3BCC5674">
            <w:pPr>
              <w:rPr>
                <w:rFonts w:hint="eastAsia" w:ascii="宋体" w:hAnsi="宋体" w:eastAsia="宋体" w:cs="宋体"/>
                <w:sz w:val="24"/>
                <w:szCs w:val="24"/>
                <w:highlight w:val="none"/>
              </w:rPr>
            </w:pPr>
            <w:r>
              <w:rPr>
                <w:rFonts w:hint="eastAsia" w:ascii="宋体" w:hAnsi="宋体" w:eastAsia="宋体" w:cs="宋体"/>
                <w:sz w:val="24"/>
                <w:szCs w:val="24"/>
                <w:highlight w:val="none"/>
              </w:rPr>
              <w:t>4.应对投诉进行书面记录、分析原因、提出解决措施，并在收到投诉的3个工作日内交至甲方备案，如未按实记录或未按时提交备案，每次扣1分。</w:t>
            </w:r>
          </w:p>
        </w:tc>
        <w:tc>
          <w:tcPr>
            <w:tcW w:w="276" w:type="pct"/>
            <w:vMerge w:val="continue"/>
            <w:noWrap/>
            <w:vAlign w:val="center"/>
          </w:tcPr>
          <w:p w14:paraId="07595A81">
            <w:pPr>
              <w:rPr>
                <w:rFonts w:hint="eastAsia" w:ascii="宋体" w:hAnsi="宋体" w:eastAsia="宋体" w:cs="宋体"/>
                <w:sz w:val="24"/>
                <w:szCs w:val="24"/>
                <w:highlight w:val="none"/>
              </w:rPr>
            </w:pPr>
          </w:p>
        </w:tc>
        <w:tc>
          <w:tcPr>
            <w:tcW w:w="224" w:type="pct"/>
            <w:vMerge w:val="continue"/>
            <w:noWrap/>
            <w:vAlign w:val="center"/>
          </w:tcPr>
          <w:p w14:paraId="519E8043">
            <w:pPr>
              <w:rPr>
                <w:rFonts w:hint="eastAsia" w:ascii="宋体" w:hAnsi="宋体" w:eastAsia="宋体" w:cs="宋体"/>
                <w:sz w:val="24"/>
                <w:szCs w:val="24"/>
                <w:highlight w:val="none"/>
              </w:rPr>
            </w:pPr>
          </w:p>
        </w:tc>
      </w:tr>
      <w:tr w14:paraId="641D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74" w:type="pct"/>
            <w:vMerge w:val="continue"/>
            <w:shd w:val="clear" w:color="auto" w:fill="auto"/>
            <w:noWrap/>
            <w:vAlign w:val="center"/>
          </w:tcPr>
          <w:p w14:paraId="39DE7B07">
            <w:pPr>
              <w:rPr>
                <w:rFonts w:hint="eastAsia" w:ascii="宋体" w:hAnsi="宋体" w:eastAsia="宋体" w:cs="宋体"/>
                <w:sz w:val="24"/>
                <w:szCs w:val="24"/>
                <w:highlight w:val="none"/>
              </w:rPr>
            </w:pPr>
          </w:p>
        </w:tc>
        <w:tc>
          <w:tcPr>
            <w:tcW w:w="477" w:type="pct"/>
            <w:vMerge w:val="continue"/>
            <w:shd w:val="clear" w:color="auto" w:fill="auto"/>
            <w:noWrap/>
            <w:vAlign w:val="center"/>
          </w:tcPr>
          <w:p w14:paraId="23E75C64">
            <w:pPr>
              <w:rPr>
                <w:rFonts w:hint="eastAsia" w:ascii="宋体" w:hAnsi="宋体" w:eastAsia="宋体" w:cs="宋体"/>
                <w:sz w:val="24"/>
                <w:szCs w:val="24"/>
                <w:highlight w:val="none"/>
              </w:rPr>
            </w:pPr>
          </w:p>
        </w:tc>
        <w:tc>
          <w:tcPr>
            <w:tcW w:w="3546" w:type="pct"/>
            <w:shd w:val="clear" w:color="auto" w:fill="auto"/>
            <w:noWrap/>
          </w:tcPr>
          <w:p w14:paraId="7D2DDFA3">
            <w:pPr>
              <w:rPr>
                <w:rFonts w:hint="eastAsia" w:ascii="宋体" w:hAnsi="宋体" w:eastAsia="宋体" w:cs="宋体"/>
                <w:sz w:val="24"/>
                <w:szCs w:val="24"/>
                <w:highlight w:val="none"/>
              </w:rPr>
            </w:pPr>
            <w:r>
              <w:rPr>
                <w:rFonts w:hint="eastAsia" w:ascii="宋体" w:hAnsi="宋体" w:eastAsia="宋体" w:cs="宋体"/>
                <w:sz w:val="24"/>
                <w:szCs w:val="24"/>
                <w:highlight w:val="none"/>
              </w:rPr>
              <w:t>5.如出现5人以上因食用同一款菜品导致腹泻或肠胃不适且有相关医学鉴定报告确定为食物引起的中毒病症，每次扣5分，且一切费用与经济纠纷由乙方承担。</w:t>
            </w:r>
          </w:p>
        </w:tc>
        <w:tc>
          <w:tcPr>
            <w:tcW w:w="276" w:type="pct"/>
            <w:vMerge w:val="continue"/>
            <w:noWrap/>
            <w:vAlign w:val="center"/>
          </w:tcPr>
          <w:p w14:paraId="7D681E46">
            <w:pPr>
              <w:rPr>
                <w:rFonts w:hint="eastAsia" w:ascii="宋体" w:hAnsi="宋体" w:eastAsia="宋体" w:cs="宋体"/>
                <w:sz w:val="24"/>
                <w:szCs w:val="24"/>
                <w:highlight w:val="none"/>
              </w:rPr>
            </w:pPr>
          </w:p>
        </w:tc>
        <w:tc>
          <w:tcPr>
            <w:tcW w:w="224" w:type="pct"/>
            <w:vMerge w:val="continue"/>
            <w:noWrap/>
            <w:vAlign w:val="center"/>
          </w:tcPr>
          <w:p w14:paraId="258BEB3F">
            <w:pPr>
              <w:rPr>
                <w:rFonts w:hint="eastAsia" w:ascii="宋体" w:hAnsi="宋体" w:eastAsia="宋体" w:cs="宋体"/>
                <w:sz w:val="24"/>
                <w:szCs w:val="24"/>
                <w:highlight w:val="none"/>
              </w:rPr>
            </w:pPr>
          </w:p>
        </w:tc>
      </w:tr>
      <w:tr w14:paraId="45FE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474" w:type="pct"/>
            <w:vMerge w:val="restart"/>
            <w:shd w:val="clear" w:color="auto" w:fill="auto"/>
            <w:noWrap/>
            <w:vAlign w:val="center"/>
          </w:tcPr>
          <w:p w14:paraId="76917FDF">
            <w:pPr>
              <w:rPr>
                <w:rFonts w:hint="eastAsia" w:ascii="宋体" w:hAnsi="宋体" w:eastAsia="宋体" w:cs="宋体"/>
                <w:sz w:val="24"/>
                <w:szCs w:val="24"/>
                <w:highlight w:val="none"/>
              </w:rPr>
            </w:pPr>
            <w:r>
              <w:rPr>
                <w:rFonts w:hint="eastAsia" w:ascii="宋体" w:hAnsi="宋体" w:eastAsia="宋体" w:cs="宋体"/>
                <w:sz w:val="24"/>
                <w:szCs w:val="24"/>
                <w:highlight w:val="none"/>
              </w:rPr>
              <w:t>日常运营评价（15）</w:t>
            </w:r>
          </w:p>
        </w:tc>
        <w:tc>
          <w:tcPr>
            <w:tcW w:w="477" w:type="pct"/>
            <w:vMerge w:val="restart"/>
            <w:shd w:val="clear" w:color="auto" w:fill="auto"/>
            <w:noWrap/>
            <w:vAlign w:val="center"/>
          </w:tcPr>
          <w:p w14:paraId="322B8E8A">
            <w:pPr>
              <w:rPr>
                <w:rFonts w:hint="eastAsia" w:ascii="宋体" w:hAnsi="宋体" w:eastAsia="宋体" w:cs="宋体"/>
                <w:sz w:val="24"/>
                <w:szCs w:val="24"/>
                <w:highlight w:val="none"/>
              </w:rPr>
            </w:pPr>
            <w:r>
              <w:rPr>
                <w:rFonts w:hint="eastAsia" w:ascii="宋体" w:hAnsi="宋体" w:eastAsia="宋体" w:cs="宋体"/>
                <w:sz w:val="24"/>
                <w:szCs w:val="24"/>
                <w:highlight w:val="none"/>
              </w:rPr>
              <w:t>关键岗位考核评价</w:t>
            </w:r>
          </w:p>
        </w:tc>
        <w:tc>
          <w:tcPr>
            <w:tcW w:w="3546" w:type="pct"/>
            <w:shd w:val="clear" w:color="auto" w:fill="auto"/>
            <w:noWrap/>
          </w:tcPr>
          <w:p w14:paraId="3434D174">
            <w:pPr>
              <w:rPr>
                <w:rFonts w:hint="eastAsia" w:ascii="宋体" w:hAnsi="宋体" w:eastAsia="宋体" w:cs="宋体"/>
                <w:sz w:val="24"/>
                <w:szCs w:val="24"/>
                <w:highlight w:val="none"/>
              </w:rPr>
            </w:pPr>
            <w:r>
              <w:rPr>
                <w:rFonts w:hint="eastAsia" w:ascii="宋体" w:hAnsi="宋体" w:eastAsia="宋体" w:cs="宋体"/>
                <w:sz w:val="24"/>
                <w:szCs w:val="24"/>
                <w:highlight w:val="none"/>
              </w:rPr>
              <w:t>1.对项目经理工作情况的评价：及时协助处理员工就餐反馈的投诉和建议并能给出相关的整改优化方案及进度；积极配合各项工作开展，例如运营细节、改造、维保、行业交流等；每月按要求输出餐厅运营日记，并且内容准确无误、完整。</w:t>
            </w:r>
          </w:p>
        </w:tc>
        <w:tc>
          <w:tcPr>
            <w:tcW w:w="276" w:type="pct"/>
            <w:vMerge w:val="restart"/>
            <w:shd w:val="clear" w:color="auto" w:fill="auto"/>
            <w:noWrap/>
            <w:vAlign w:val="center"/>
          </w:tcPr>
          <w:p w14:paraId="263AD92F">
            <w:pP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24" w:type="pct"/>
            <w:vMerge w:val="restart"/>
            <w:shd w:val="clear" w:color="auto" w:fill="auto"/>
            <w:noWrap/>
          </w:tcPr>
          <w:p w14:paraId="44F240A4">
            <w:pPr>
              <w:rPr>
                <w:rFonts w:hint="eastAsia" w:ascii="宋体" w:hAnsi="宋体" w:eastAsia="宋体" w:cs="宋体"/>
                <w:sz w:val="24"/>
                <w:szCs w:val="24"/>
                <w:highlight w:val="none"/>
              </w:rPr>
            </w:pPr>
          </w:p>
        </w:tc>
      </w:tr>
      <w:tr w14:paraId="4E12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474" w:type="pct"/>
            <w:vMerge w:val="continue"/>
            <w:shd w:val="clear" w:color="auto" w:fill="auto"/>
            <w:noWrap/>
            <w:vAlign w:val="center"/>
          </w:tcPr>
          <w:p w14:paraId="1F000855">
            <w:pPr>
              <w:rPr>
                <w:rFonts w:hint="eastAsia" w:ascii="宋体" w:hAnsi="宋体" w:eastAsia="宋体" w:cs="宋体"/>
                <w:sz w:val="24"/>
                <w:szCs w:val="24"/>
                <w:highlight w:val="none"/>
              </w:rPr>
            </w:pPr>
          </w:p>
        </w:tc>
        <w:tc>
          <w:tcPr>
            <w:tcW w:w="477" w:type="pct"/>
            <w:vMerge w:val="continue"/>
            <w:shd w:val="clear" w:color="auto" w:fill="auto"/>
            <w:noWrap/>
            <w:vAlign w:val="center"/>
          </w:tcPr>
          <w:p w14:paraId="50BD9AFB">
            <w:pPr>
              <w:rPr>
                <w:rFonts w:hint="eastAsia" w:ascii="宋体" w:hAnsi="宋体" w:eastAsia="宋体" w:cs="宋体"/>
                <w:sz w:val="24"/>
                <w:szCs w:val="24"/>
                <w:highlight w:val="none"/>
              </w:rPr>
            </w:pPr>
          </w:p>
        </w:tc>
        <w:tc>
          <w:tcPr>
            <w:tcW w:w="3546" w:type="pct"/>
            <w:shd w:val="clear" w:color="auto" w:fill="auto"/>
            <w:noWrap/>
          </w:tcPr>
          <w:p w14:paraId="39BAA8CB">
            <w:pPr>
              <w:rPr>
                <w:rFonts w:hint="eastAsia" w:ascii="宋体" w:hAnsi="宋体" w:eastAsia="宋体" w:cs="宋体"/>
                <w:sz w:val="24"/>
                <w:szCs w:val="24"/>
                <w:highlight w:val="none"/>
              </w:rPr>
            </w:pPr>
            <w:r>
              <w:rPr>
                <w:rFonts w:hint="eastAsia" w:ascii="宋体" w:hAnsi="宋体" w:eastAsia="宋体" w:cs="宋体"/>
                <w:sz w:val="24"/>
                <w:szCs w:val="24"/>
                <w:highlight w:val="none"/>
              </w:rPr>
              <w:t>2.对主厨工作情况的评价：应保证出品质量、菜品搭配，提供热菜、凉菜、主食、汤，并提供豆浆、点心、水果等，需要兼顾南北方口味等8大菜系，以粤菜为主，其余菜系为辅，当天午餐与晚餐的菜单不得重复，并每月推出不少于4个品种的菜式。</w:t>
            </w:r>
          </w:p>
        </w:tc>
        <w:tc>
          <w:tcPr>
            <w:tcW w:w="276" w:type="pct"/>
            <w:vMerge w:val="continue"/>
            <w:noWrap/>
            <w:vAlign w:val="center"/>
          </w:tcPr>
          <w:p w14:paraId="01461601">
            <w:pPr>
              <w:rPr>
                <w:rFonts w:hint="eastAsia" w:ascii="宋体" w:hAnsi="宋体" w:eastAsia="宋体" w:cs="宋体"/>
                <w:sz w:val="24"/>
                <w:szCs w:val="24"/>
                <w:highlight w:val="none"/>
              </w:rPr>
            </w:pPr>
          </w:p>
        </w:tc>
        <w:tc>
          <w:tcPr>
            <w:tcW w:w="224" w:type="pct"/>
            <w:vMerge w:val="continue"/>
            <w:noWrap/>
            <w:vAlign w:val="center"/>
          </w:tcPr>
          <w:p w14:paraId="31BB9D79">
            <w:pPr>
              <w:rPr>
                <w:rFonts w:hint="eastAsia" w:ascii="宋体" w:hAnsi="宋体" w:eastAsia="宋体" w:cs="宋体"/>
                <w:sz w:val="24"/>
                <w:szCs w:val="24"/>
                <w:highlight w:val="none"/>
              </w:rPr>
            </w:pPr>
          </w:p>
        </w:tc>
      </w:tr>
      <w:tr w14:paraId="0B2D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74" w:type="pct"/>
            <w:vMerge w:val="continue"/>
            <w:shd w:val="clear" w:color="auto" w:fill="auto"/>
            <w:noWrap/>
            <w:vAlign w:val="center"/>
          </w:tcPr>
          <w:p w14:paraId="6E975A02">
            <w:pPr>
              <w:rPr>
                <w:rFonts w:hint="eastAsia" w:ascii="宋体" w:hAnsi="宋体" w:eastAsia="宋体" w:cs="宋体"/>
                <w:sz w:val="24"/>
                <w:szCs w:val="24"/>
                <w:highlight w:val="none"/>
              </w:rPr>
            </w:pPr>
          </w:p>
        </w:tc>
        <w:tc>
          <w:tcPr>
            <w:tcW w:w="477" w:type="pct"/>
            <w:vMerge w:val="continue"/>
            <w:shd w:val="clear" w:color="auto" w:fill="auto"/>
            <w:noWrap/>
            <w:vAlign w:val="center"/>
          </w:tcPr>
          <w:p w14:paraId="66AAD8D2">
            <w:pPr>
              <w:rPr>
                <w:rFonts w:hint="eastAsia" w:ascii="宋体" w:hAnsi="宋体" w:eastAsia="宋体" w:cs="宋体"/>
                <w:sz w:val="24"/>
                <w:szCs w:val="24"/>
                <w:highlight w:val="none"/>
              </w:rPr>
            </w:pPr>
          </w:p>
        </w:tc>
        <w:tc>
          <w:tcPr>
            <w:tcW w:w="3546" w:type="pct"/>
            <w:shd w:val="clear" w:color="auto" w:fill="auto"/>
            <w:noWrap/>
          </w:tcPr>
          <w:p w14:paraId="26D53A25">
            <w:pPr>
              <w:rPr>
                <w:rFonts w:hint="eastAsia" w:ascii="宋体" w:hAnsi="宋体" w:eastAsia="宋体" w:cs="宋体"/>
                <w:sz w:val="24"/>
                <w:szCs w:val="24"/>
                <w:highlight w:val="none"/>
              </w:rPr>
            </w:pPr>
            <w:r>
              <w:rPr>
                <w:rFonts w:hint="eastAsia" w:ascii="宋体" w:hAnsi="宋体" w:eastAsia="宋体" w:cs="宋体"/>
                <w:sz w:val="24"/>
                <w:szCs w:val="24"/>
                <w:highlight w:val="none"/>
              </w:rPr>
              <w:t>3.对点心组长工作情况的评价：应保证出品质量、菜品搭配，以手工制作为主，兼顾南北方面点、中西方点心，并每月推出不少于2个品种新点心菜式。</w:t>
            </w:r>
          </w:p>
        </w:tc>
        <w:tc>
          <w:tcPr>
            <w:tcW w:w="276" w:type="pct"/>
            <w:vMerge w:val="continue"/>
            <w:noWrap/>
            <w:vAlign w:val="center"/>
          </w:tcPr>
          <w:p w14:paraId="2F9D97D4">
            <w:pPr>
              <w:rPr>
                <w:rFonts w:hint="eastAsia" w:ascii="宋体" w:hAnsi="宋体" w:eastAsia="宋体" w:cs="宋体"/>
                <w:sz w:val="24"/>
                <w:szCs w:val="24"/>
                <w:highlight w:val="none"/>
              </w:rPr>
            </w:pPr>
          </w:p>
        </w:tc>
        <w:tc>
          <w:tcPr>
            <w:tcW w:w="224" w:type="pct"/>
            <w:vMerge w:val="continue"/>
            <w:noWrap/>
            <w:vAlign w:val="center"/>
          </w:tcPr>
          <w:p w14:paraId="45321302">
            <w:pPr>
              <w:rPr>
                <w:rFonts w:hint="eastAsia" w:ascii="宋体" w:hAnsi="宋体" w:eastAsia="宋体" w:cs="宋体"/>
                <w:sz w:val="24"/>
                <w:szCs w:val="24"/>
                <w:highlight w:val="none"/>
              </w:rPr>
            </w:pPr>
          </w:p>
        </w:tc>
      </w:tr>
      <w:tr w14:paraId="66C6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74" w:type="pct"/>
            <w:vMerge w:val="continue"/>
            <w:shd w:val="clear" w:color="auto" w:fill="auto"/>
            <w:noWrap/>
            <w:vAlign w:val="center"/>
          </w:tcPr>
          <w:p w14:paraId="7083D414">
            <w:pPr>
              <w:rPr>
                <w:rFonts w:hint="eastAsia" w:ascii="宋体" w:hAnsi="宋体" w:eastAsia="宋体" w:cs="宋体"/>
                <w:sz w:val="24"/>
                <w:szCs w:val="24"/>
                <w:highlight w:val="none"/>
              </w:rPr>
            </w:pPr>
          </w:p>
        </w:tc>
        <w:tc>
          <w:tcPr>
            <w:tcW w:w="477" w:type="pct"/>
            <w:vMerge w:val="continue"/>
            <w:shd w:val="clear" w:color="auto" w:fill="auto"/>
            <w:noWrap/>
            <w:vAlign w:val="center"/>
          </w:tcPr>
          <w:p w14:paraId="29108BA5">
            <w:pPr>
              <w:rPr>
                <w:rFonts w:hint="eastAsia" w:ascii="宋体" w:hAnsi="宋体" w:eastAsia="宋体" w:cs="宋体"/>
                <w:sz w:val="24"/>
                <w:szCs w:val="24"/>
                <w:highlight w:val="none"/>
              </w:rPr>
            </w:pPr>
          </w:p>
        </w:tc>
        <w:tc>
          <w:tcPr>
            <w:tcW w:w="3546" w:type="pct"/>
            <w:shd w:val="clear" w:color="auto" w:fill="auto"/>
            <w:noWrap/>
          </w:tcPr>
          <w:p w14:paraId="38CFDABF">
            <w:pPr>
              <w:rPr>
                <w:rFonts w:hint="eastAsia" w:ascii="宋体" w:hAnsi="宋体" w:eastAsia="宋体" w:cs="宋体"/>
                <w:sz w:val="24"/>
                <w:szCs w:val="24"/>
                <w:highlight w:val="none"/>
              </w:rPr>
            </w:pPr>
            <w:r>
              <w:rPr>
                <w:rFonts w:hint="eastAsia" w:ascii="宋体" w:hAnsi="宋体" w:eastAsia="宋体" w:cs="宋体"/>
                <w:sz w:val="24"/>
                <w:szCs w:val="24"/>
                <w:highlight w:val="none"/>
              </w:rPr>
              <w:t>（上述各人员评价为优秀的得5分，良好的得4分，较好的得3分，一般的得2分，合格的得1分，较差或差或不合格的得0分）</w:t>
            </w:r>
          </w:p>
        </w:tc>
        <w:tc>
          <w:tcPr>
            <w:tcW w:w="276" w:type="pct"/>
            <w:vMerge w:val="continue"/>
            <w:noWrap/>
            <w:vAlign w:val="center"/>
          </w:tcPr>
          <w:p w14:paraId="7CCFBF88">
            <w:pPr>
              <w:rPr>
                <w:rFonts w:hint="eastAsia" w:ascii="宋体" w:hAnsi="宋体" w:eastAsia="宋体" w:cs="宋体"/>
                <w:sz w:val="24"/>
                <w:szCs w:val="24"/>
                <w:highlight w:val="none"/>
              </w:rPr>
            </w:pPr>
          </w:p>
        </w:tc>
        <w:tc>
          <w:tcPr>
            <w:tcW w:w="224" w:type="pct"/>
            <w:vMerge w:val="continue"/>
            <w:noWrap/>
            <w:vAlign w:val="center"/>
          </w:tcPr>
          <w:p w14:paraId="669AB348">
            <w:pPr>
              <w:rPr>
                <w:rFonts w:hint="eastAsia" w:ascii="宋体" w:hAnsi="宋体" w:eastAsia="宋体" w:cs="宋体"/>
                <w:sz w:val="24"/>
                <w:szCs w:val="24"/>
                <w:highlight w:val="none"/>
              </w:rPr>
            </w:pPr>
          </w:p>
        </w:tc>
      </w:tr>
      <w:tr w14:paraId="1FD5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74" w:type="pct"/>
            <w:vMerge w:val="continue"/>
            <w:shd w:val="clear" w:color="auto" w:fill="auto"/>
            <w:noWrap/>
            <w:vAlign w:val="center"/>
          </w:tcPr>
          <w:p w14:paraId="072693E9">
            <w:pPr>
              <w:rPr>
                <w:rFonts w:hint="eastAsia" w:ascii="宋体" w:hAnsi="宋体" w:eastAsia="宋体" w:cs="宋体"/>
                <w:sz w:val="24"/>
                <w:szCs w:val="24"/>
                <w:highlight w:val="none"/>
              </w:rPr>
            </w:pPr>
          </w:p>
        </w:tc>
        <w:tc>
          <w:tcPr>
            <w:tcW w:w="477" w:type="pct"/>
            <w:vMerge w:val="restart"/>
            <w:shd w:val="clear" w:color="auto" w:fill="auto"/>
            <w:noWrap/>
            <w:vAlign w:val="center"/>
          </w:tcPr>
          <w:p w14:paraId="7ABE2EE2">
            <w:pPr>
              <w:rPr>
                <w:rFonts w:hint="eastAsia" w:ascii="宋体" w:hAnsi="宋体" w:eastAsia="宋体" w:cs="宋体"/>
                <w:sz w:val="24"/>
                <w:szCs w:val="24"/>
                <w:highlight w:val="none"/>
              </w:rPr>
            </w:pPr>
            <w:r>
              <w:rPr>
                <w:rFonts w:hint="eastAsia" w:ascii="宋体" w:hAnsi="宋体" w:eastAsia="宋体" w:cs="宋体"/>
                <w:sz w:val="24"/>
                <w:szCs w:val="24"/>
                <w:highlight w:val="none"/>
              </w:rPr>
              <w:t>成本核算情况评价</w:t>
            </w:r>
          </w:p>
        </w:tc>
        <w:tc>
          <w:tcPr>
            <w:tcW w:w="3546" w:type="pct"/>
            <w:shd w:val="clear" w:color="auto" w:fill="auto"/>
            <w:noWrap/>
          </w:tcPr>
          <w:p w14:paraId="1F115680">
            <w:pPr>
              <w:rPr>
                <w:rFonts w:hint="eastAsia" w:ascii="宋体" w:hAnsi="宋体" w:eastAsia="宋体" w:cs="宋体"/>
                <w:sz w:val="24"/>
                <w:szCs w:val="24"/>
                <w:highlight w:val="none"/>
              </w:rPr>
            </w:pPr>
            <w:r>
              <w:rPr>
                <w:rFonts w:hint="eastAsia" w:ascii="宋体" w:hAnsi="宋体" w:eastAsia="宋体" w:cs="宋体"/>
                <w:sz w:val="24"/>
                <w:szCs w:val="24"/>
                <w:highlight w:val="none"/>
              </w:rPr>
              <w:t>1.职工餐（含堂食、过时餐、配送餐）以“收支平衡、略有盈余”的经营理念进行管理，仅核算变动成本（如食材、餐具、耗材、水电费、燃气费等随就餐量变化而变化的成本），剔除人力成本与折旧成本后，做到收支平衡，略有盈余，并保证每月略有盈余，如未达要求，扣罚5分。</w:t>
            </w:r>
          </w:p>
        </w:tc>
        <w:tc>
          <w:tcPr>
            <w:tcW w:w="276" w:type="pct"/>
            <w:vMerge w:val="restart"/>
            <w:shd w:val="clear" w:color="auto" w:fill="auto"/>
            <w:noWrap/>
            <w:vAlign w:val="center"/>
          </w:tcPr>
          <w:p w14:paraId="09B0E911">
            <w:pP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24" w:type="pct"/>
            <w:vMerge w:val="restart"/>
            <w:shd w:val="clear" w:color="auto" w:fill="auto"/>
            <w:noWrap/>
          </w:tcPr>
          <w:p w14:paraId="37ECF9F0">
            <w:pPr>
              <w:rPr>
                <w:rFonts w:hint="eastAsia" w:ascii="宋体" w:hAnsi="宋体" w:eastAsia="宋体" w:cs="宋体"/>
                <w:sz w:val="24"/>
                <w:szCs w:val="24"/>
                <w:highlight w:val="none"/>
              </w:rPr>
            </w:pPr>
          </w:p>
        </w:tc>
      </w:tr>
      <w:tr w14:paraId="1794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4" w:type="pct"/>
            <w:vMerge w:val="continue"/>
            <w:shd w:val="clear" w:color="auto" w:fill="auto"/>
            <w:noWrap/>
            <w:vAlign w:val="center"/>
          </w:tcPr>
          <w:p w14:paraId="52939D83">
            <w:pPr>
              <w:rPr>
                <w:rFonts w:hint="eastAsia" w:ascii="宋体" w:hAnsi="宋体" w:eastAsia="宋体" w:cs="宋体"/>
                <w:sz w:val="24"/>
                <w:szCs w:val="24"/>
                <w:highlight w:val="none"/>
              </w:rPr>
            </w:pPr>
          </w:p>
        </w:tc>
        <w:tc>
          <w:tcPr>
            <w:tcW w:w="477" w:type="pct"/>
            <w:vMerge w:val="continue"/>
            <w:shd w:val="clear" w:color="auto" w:fill="auto"/>
            <w:noWrap/>
            <w:vAlign w:val="center"/>
          </w:tcPr>
          <w:p w14:paraId="4BC2688A">
            <w:pPr>
              <w:rPr>
                <w:rFonts w:hint="eastAsia" w:ascii="宋体" w:hAnsi="宋体" w:eastAsia="宋体" w:cs="宋体"/>
                <w:sz w:val="24"/>
                <w:szCs w:val="24"/>
                <w:highlight w:val="none"/>
              </w:rPr>
            </w:pPr>
          </w:p>
        </w:tc>
        <w:tc>
          <w:tcPr>
            <w:tcW w:w="3546" w:type="pct"/>
            <w:shd w:val="clear" w:color="auto" w:fill="auto"/>
            <w:noWrap/>
          </w:tcPr>
          <w:p w14:paraId="083DF294">
            <w:pPr>
              <w:rPr>
                <w:rFonts w:hint="eastAsia" w:ascii="宋体" w:hAnsi="宋体" w:eastAsia="宋体" w:cs="宋体"/>
                <w:sz w:val="24"/>
                <w:szCs w:val="24"/>
                <w:highlight w:val="none"/>
              </w:rPr>
            </w:pPr>
            <w:r>
              <w:rPr>
                <w:rFonts w:hint="eastAsia" w:ascii="宋体" w:hAnsi="宋体" w:eastAsia="宋体" w:cs="宋体"/>
                <w:sz w:val="24"/>
                <w:szCs w:val="24"/>
                <w:highlight w:val="none"/>
              </w:rPr>
              <w:t>2.乙方应在菜单实施前，提供每份菜式的成本分析报告给甲方复核，如未达要求，每次扣罚5分。</w:t>
            </w:r>
          </w:p>
        </w:tc>
        <w:tc>
          <w:tcPr>
            <w:tcW w:w="276" w:type="pct"/>
            <w:vMerge w:val="continue"/>
            <w:noWrap/>
            <w:vAlign w:val="center"/>
          </w:tcPr>
          <w:p w14:paraId="696E2F2C">
            <w:pPr>
              <w:rPr>
                <w:rFonts w:hint="eastAsia" w:ascii="宋体" w:hAnsi="宋体" w:eastAsia="宋体" w:cs="宋体"/>
                <w:sz w:val="24"/>
                <w:szCs w:val="24"/>
                <w:highlight w:val="none"/>
              </w:rPr>
            </w:pPr>
          </w:p>
        </w:tc>
        <w:tc>
          <w:tcPr>
            <w:tcW w:w="224" w:type="pct"/>
            <w:vMerge w:val="continue"/>
            <w:noWrap/>
            <w:vAlign w:val="center"/>
          </w:tcPr>
          <w:p w14:paraId="3CE35975">
            <w:pPr>
              <w:rPr>
                <w:rFonts w:hint="eastAsia" w:ascii="宋体" w:hAnsi="宋体" w:eastAsia="宋体" w:cs="宋体"/>
                <w:sz w:val="24"/>
                <w:szCs w:val="24"/>
                <w:highlight w:val="none"/>
              </w:rPr>
            </w:pPr>
          </w:p>
        </w:tc>
      </w:tr>
      <w:tr w14:paraId="120D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74" w:type="pct"/>
            <w:vMerge w:val="continue"/>
            <w:shd w:val="clear" w:color="auto" w:fill="auto"/>
            <w:noWrap/>
            <w:vAlign w:val="center"/>
          </w:tcPr>
          <w:p w14:paraId="71DA231C">
            <w:pPr>
              <w:rPr>
                <w:rFonts w:hint="eastAsia" w:ascii="宋体" w:hAnsi="宋体" w:eastAsia="宋体" w:cs="宋体"/>
                <w:sz w:val="24"/>
                <w:szCs w:val="24"/>
                <w:highlight w:val="none"/>
              </w:rPr>
            </w:pPr>
          </w:p>
        </w:tc>
        <w:tc>
          <w:tcPr>
            <w:tcW w:w="477" w:type="pct"/>
            <w:vMerge w:val="continue"/>
            <w:shd w:val="clear" w:color="auto" w:fill="auto"/>
            <w:noWrap/>
            <w:vAlign w:val="center"/>
          </w:tcPr>
          <w:p w14:paraId="7C01F46B">
            <w:pPr>
              <w:rPr>
                <w:rFonts w:hint="eastAsia" w:ascii="宋体" w:hAnsi="宋体" w:eastAsia="宋体" w:cs="宋体"/>
                <w:sz w:val="24"/>
                <w:szCs w:val="24"/>
                <w:highlight w:val="none"/>
              </w:rPr>
            </w:pPr>
          </w:p>
        </w:tc>
        <w:tc>
          <w:tcPr>
            <w:tcW w:w="3546" w:type="pct"/>
            <w:shd w:val="clear" w:color="auto" w:fill="auto"/>
            <w:noWrap/>
          </w:tcPr>
          <w:p w14:paraId="5BE91CE5">
            <w:pPr>
              <w:rPr>
                <w:rFonts w:hint="eastAsia" w:ascii="宋体" w:hAnsi="宋体" w:eastAsia="宋体" w:cs="宋体"/>
                <w:sz w:val="24"/>
                <w:szCs w:val="24"/>
                <w:highlight w:val="none"/>
              </w:rPr>
            </w:pPr>
            <w:r>
              <w:rPr>
                <w:rFonts w:hint="eastAsia" w:ascii="宋体" w:hAnsi="宋体" w:eastAsia="宋体" w:cs="宋体"/>
                <w:sz w:val="24"/>
                <w:szCs w:val="24"/>
                <w:highlight w:val="none"/>
              </w:rPr>
              <w:t>3.每餐售卖剩余的食品应低于5%，发现超过5%，每次扣1分。</w:t>
            </w:r>
          </w:p>
        </w:tc>
        <w:tc>
          <w:tcPr>
            <w:tcW w:w="276" w:type="pct"/>
            <w:vMerge w:val="continue"/>
            <w:noWrap/>
            <w:vAlign w:val="center"/>
          </w:tcPr>
          <w:p w14:paraId="1075F326">
            <w:pPr>
              <w:rPr>
                <w:rFonts w:hint="eastAsia" w:ascii="宋体" w:hAnsi="宋体" w:eastAsia="宋体" w:cs="宋体"/>
                <w:sz w:val="24"/>
                <w:szCs w:val="24"/>
                <w:highlight w:val="none"/>
              </w:rPr>
            </w:pPr>
          </w:p>
        </w:tc>
        <w:tc>
          <w:tcPr>
            <w:tcW w:w="224" w:type="pct"/>
            <w:vMerge w:val="continue"/>
            <w:noWrap/>
            <w:vAlign w:val="center"/>
          </w:tcPr>
          <w:p w14:paraId="1546E5C4">
            <w:pPr>
              <w:rPr>
                <w:rFonts w:hint="eastAsia" w:ascii="宋体" w:hAnsi="宋体" w:eastAsia="宋体" w:cs="宋体"/>
                <w:sz w:val="24"/>
                <w:szCs w:val="24"/>
                <w:highlight w:val="none"/>
              </w:rPr>
            </w:pPr>
          </w:p>
        </w:tc>
      </w:tr>
      <w:tr w14:paraId="68A2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74" w:type="pct"/>
            <w:vMerge w:val="restart"/>
            <w:shd w:val="clear" w:color="auto" w:fill="auto"/>
            <w:noWrap/>
            <w:vAlign w:val="center"/>
          </w:tcPr>
          <w:p w14:paraId="047163C3">
            <w:pPr>
              <w:rPr>
                <w:rFonts w:hint="eastAsia" w:ascii="宋体" w:hAnsi="宋体" w:eastAsia="宋体" w:cs="宋体"/>
                <w:sz w:val="24"/>
                <w:szCs w:val="24"/>
                <w:highlight w:val="none"/>
              </w:rPr>
            </w:pPr>
            <w:r>
              <w:rPr>
                <w:rFonts w:hint="eastAsia" w:ascii="宋体" w:hAnsi="宋体" w:eastAsia="宋体" w:cs="宋体"/>
                <w:sz w:val="24"/>
                <w:szCs w:val="24"/>
                <w:highlight w:val="none"/>
              </w:rPr>
              <w:t>加分项</w:t>
            </w:r>
          </w:p>
        </w:tc>
        <w:tc>
          <w:tcPr>
            <w:tcW w:w="477" w:type="pct"/>
            <w:shd w:val="clear" w:color="auto" w:fill="auto"/>
            <w:noWrap/>
            <w:vAlign w:val="center"/>
          </w:tcPr>
          <w:p w14:paraId="68583F40">
            <w:pPr>
              <w:rPr>
                <w:rFonts w:hint="eastAsia" w:ascii="宋体" w:hAnsi="宋体" w:eastAsia="宋体" w:cs="宋体"/>
                <w:sz w:val="24"/>
                <w:szCs w:val="24"/>
                <w:highlight w:val="none"/>
              </w:rPr>
            </w:pPr>
            <w:r>
              <w:rPr>
                <w:rFonts w:hint="eastAsia" w:ascii="宋体" w:hAnsi="宋体" w:eastAsia="宋体" w:cs="宋体"/>
                <w:sz w:val="24"/>
                <w:szCs w:val="24"/>
                <w:highlight w:val="none"/>
              </w:rPr>
              <w:t>管理类</w:t>
            </w:r>
          </w:p>
        </w:tc>
        <w:tc>
          <w:tcPr>
            <w:tcW w:w="3546" w:type="pct"/>
            <w:shd w:val="clear" w:color="auto" w:fill="auto"/>
            <w:noWrap/>
          </w:tcPr>
          <w:p w14:paraId="6A56C785">
            <w:pPr>
              <w:rPr>
                <w:rFonts w:hint="eastAsia" w:ascii="宋体" w:hAnsi="宋体" w:eastAsia="宋体" w:cs="宋体"/>
                <w:sz w:val="24"/>
                <w:szCs w:val="24"/>
                <w:highlight w:val="none"/>
              </w:rPr>
            </w:pPr>
            <w:r>
              <w:rPr>
                <w:rFonts w:hint="eastAsia" w:ascii="宋体" w:hAnsi="宋体" w:eastAsia="宋体" w:cs="宋体"/>
                <w:sz w:val="24"/>
                <w:szCs w:val="24"/>
                <w:highlight w:val="none"/>
              </w:rPr>
              <w:t>在日常运营细节中提高效能、用餐体验等方面的优化，最高可加5分。</w:t>
            </w:r>
          </w:p>
        </w:tc>
        <w:tc>
          <w:tcPr>
            <w:tcW w:w="500" w:type="pct"/>
            <w:gridSpan w:val="2"/>
            <w:vMerge w:val="restart"/>
            <w:shd w:val="clear" w:color="auto" w:fill="auto"/>
            <w:noWrap/>
          </w:tcPr>
          <w:p w14:paraId="0A8291B5">
            <w:pPr>
              <w:rPr>
                <w:rFonts w:hint="eastAsia" w:ascii="宋体" w:hAnsi="宋体" w:eastAsia="宋体" w:cs="宋体"/>
                <w:sz w:val="24"/>
                <w:szCs w:val="24"/>
                <w:highlight w:val="none"/>
              </w:rPr>
            </w:pPr>
          </w:p>
        </w:tc>
      </w:tr>
      <w:tr w14:paraId="7739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74" w:type="pct"/>
            <w:vMerge w:val="continue"/>
            <w:shd w:val="clear" w:color="auto" w:fill="auto"/>
            <w:noWrap/>
            <w:vAlign w:val="center"/>
          </w:tcPr>
          <w:p w14:paraId="684AB472">
            <w:pPr>
              <w:rPr>
                <w:rFonts w:hint="eastAsia" w:ascii="宋体" w:hAnsi="宋体" w:eastAsia="宋体" w:cs="宋体"/>
                <w:sz w:val="24"/>
                <w:szCs w:val="24"/>
                <w:highlight w:val="none"/>
              </w:rPr>
            </w:pPr>
          </w:p>
        </w:tc>
        <w:tc>
          <w:tcPr>
            <w:tcW w:w="477" w:type="pct"/>
            <w:shd w:val="clear" w:color="auto" w:fill="auto"/>
            <w:noWrap/>
            <w:vAlign w:val="center"/>
          </w:tcPr>
          <w:p w14:paraId="178335A8">
            <w:pPr>
              <w:rPr>
                <w:rFonts w:hint="eastAsia" w:ascii="宋体" w:hAnsi="宋体" w:eastAsia="宋体" w:cs="宋体"/>
                <w:sz w:val="24"/>
                <w:szCs w:val="24"/>
                <w:highlight w:val="none"/>
              </w:rPr>
            </w:pPr>
            <w:r>
              <w:rPr>
                <w:rFonts w:hint="eastAsia" w:ascii="宋体" w:hAnsi="宋体" w:eastAsia="宋体" w:cs="宋体"/>
                <w:sz w:val="24"/>
                <w:szCs w:val="24"/>
                <w:highlight w:val="none"/>
              </w:rPr>
              <w:t>运营类</w:t>
            </w:r>
          </w:p>
        </w:tc>
        <w:tc>
          <w:tcPr>
            <w:tcW w:w="3546" w:type="pct"/>
            <w:shd w:val="clear" w:color="auto" w:fill="auto"/>
            <w:noWrap/>
          </w:tcPr>
          <w:p w14:paraId="10A49E3E">
            <w:pPr>
              <w:rPr>
                <w:rFonts w:hint="eastAsia" w:ascii="宋体" w:hAnsi="宋体" w:eastAsia="宋体" w:cs="宋体"/>
                <w:sz w:val="24"/>
                <w:szCs w:val="24"/>
                <w:highlight w:val="none"/>
              </w:rPr>
            </w:pPr>
            <w:r>
              <w:rPr>
                <w:rFonts w:hint="eastAsia" w:ascii="宋体" w:hAnsi="宋体" w:eastAsia="宋体" w:cs="宋体"/>
                <w:sz w:val="24"/>
                <w:szCs w:val="24"/>
                <w:highlight w:val="none"/>
              </w:rPr>
              <w:t>某餐线产品优化后有较大变化，消费人次大于招标文件的预计就餐人次5%以上时，每超2%加2分，最高可加5分。</w:t>
            </w:r>
          </w:p>
        </w:tc>
        <w:tc>
          <w:tcPr>
            <w:tcW w:w="500" w:type="pct"/>
            <w:gridSpan w:val="2"/>
            <w:vMerge w:val="continue"/>
            <w:noWrap/>
            <w:vAlign w:val="center"/>
          </w:tcPr>
          <w:p w14:paraId="18289293">
            <w:pPr>
              <w:rPr>
                <w:rFonts w:hint="eastAsia" w:ascii="宋体" w:hAnsi="宋体" w:eastAsia="宋体" w:cs="宋体"/>
                <w:sz w:val="24"/>
                <w:szCs w:val="24"/>
                <w:highlight w:val="none"/>
              </w:rPr>
            </w:pPr>
          </w:p>
        </w:tc>
      </w:tr>
      <w:tr w14:paraId="2616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74" w:type="pct"/>
            <w:vMerge w:val="continue"/>
            <w:shd w:val="clear" w:color="auto" w:fill="auto"/>
            <w:noWrap/>
            <w:vAlign w:val="center"/>
          </w:tcPr>
          <w:p w14:paraId="6DB86223">
            <w:pPr>
              <w:rPr>
                <w:rFonts w:hint="eastAsia" w:ascii="宋体" w:hAnsi="宋体" w:eastAsia="宋体" w:cs="宋体"/>
                <w:sz w:val="24"/>
                <w:szCs w:val="24"/>
                <w:highlight w:val="none"/>
              </w:rPr>
            </w:pPr>
          </w:p>
        </w:tc>
        <w:tc>
          <w:tcPr>
            <w:tcW w:w="477" w:type="pct"/>
            <w:shd w:val="clear" w:color="auto" w:fill="auto"/>
            <w:noWrap/>
            <w:vAlign w:val="center"/>
          </w:tcPr>
          <w:p w14:paraId="0C405F83">
            <w:pPr>
              <w:rPr>
                <w:rFonts w:hint="eastAsia" w:ascii="宋体" w:hAnsi="宋体" w:eastAsia="宋体" w:cs="宋体"/>
                <w:sz w:val="24"/>
                <w:szCs w:val="24"/>
                <w:highlight w:val="none"/>
              </w:rPr>
            </w:pPr>
            <w:r>
              <w:rPr>
                <w:rFonts w:hint="eastAsia" w:ascii="宋体" w:hAnsi="宋体" w:eastAsia="宋体" w:cs="宋体"/>
                <w:sz w:val="24"/>
                <w:szCs w:val="24"/>
                <w:highlight w:val="none"/>
              </w:rPr>
              <w:t>创新类</w:t>
            </w:r>
          </w:p>
        </w:tc>
        <w:tc>
          <w:tcPr>
            <w:tcW w:w="3546" w:type="pct"/>
            <w:shd w:val="clear" w:color="auto" w:fill="auto"/>
            <w:noWrap/>
          </w:tcPr>
          <w:p w14:paraId="7CD08E78">
            <w:pPr>
              <w:rPr>
                <w:rFonts w:hint="eastAsia" w:ascii="宋体" w:hAnsi="宋体" w:eastAsia="宋体" w:cs="宋体"/>
                <w:sz w:val="24"/>
                <w:szCs w:val="24"/>
                <w:highlight w:val="none"/>
              </w:rPr>
            </w:pPr>
            <w:r>
              <w:rPr>
                <w:rFonts w:hint="eastAsia" w:ascii="宋体" w:hAnsi="宋体" w:eastAsia="宋体" w:cs="宋体"/>
                <w:sz w:val="24"/>
                <w:szCs w:val="24"/>
                <w:highlight w:val="none"/>
              </w:rPr>
              <w:t>中厨每月推出新菜数量为a，可加(a-6)x1分，点心部每月推出新菜数量为b，可加(b-5)x1分，本项最高可加10分。</w:t>
            </w:r>
          </w:p>
        </w:tc>
        <w:tc>
          <w:tcPr>
            <w:tcW w:w="500" w:type="pct"/>
            <w:gridSpan w:val="2"/>
            <w:vMerge w:val="continue"/>
            <w:noWrap/>
            <w:vAlign w:val="center"/>
          </w:tcPr>
          <w:p w14:paraId="62AA1254">
            <w:pPr>
              <w:rPr>
                <w:rFonts w:hint="eastAsia" w:ascii="宋体" w:hAnsi="宋体" w:eastAsia="宋体" w:cs="宋体"/>
                <w:sz w:val="24"/>
                <w:szCs w:val="24"/>
                <w:highlight w:val="none"/>
              </w:rPr>
            </w:pPr>
          </w:p>
        </w:tc>
      </w:tr>
      <w:tr w14:paraId="32FF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restart"/>
            <w:shd w:val="clear" w:color="auto" w:fill="auto"/>
            <w:noWrap/>
            <w:vAlign w:val="center"/>
          </w:tcPr>
          <w:p w14:paraId="360ECDFB">
            <w:pPr>
              <w:rPr>
                <w:rFonts w:hint="eastAsia" w:ascii="宋体" w:hAnsi="宋体" w:eastAsia="宋体" w:cs="宋体"/>
                <w:sz w:val="24"/>
                <w:szCs w:val="24"/>
                <w:highlight w:val="none"/>
              </w:rPr>
            </w:pPr>
            <w:r>
              <w:rPr>
                <w:rFonts w:hint="eastAsia" w:ascii="宋体" w:hAnsi="宋体" w:eastAsia="宋体" w:cs="宋体"/>
                <w:sz w:val="24"/>
                <w:szCs w:val="24"/>
                <w:highlight w:val="none"/>
              </w:rPr>
              <w:t>一票否决项</w:t>
            </w:r>
          </w:p>
        </w:tc>
        <w:tc>
          <w:tcPr>
            <w:tcW w:w="4525" w:type="pct"/>
            <w:gridSpan w:val="4"/>
            <w:shd w:val="clear" w:color="auto" w:fill="auto"/>
            <w:noWrap/>
            <w:vAlign w:val="center"/>
          </w:tcPr>
          <w:p w14:paraId="0C0D971C">
            <w:pPr>
              <w:rPr>
                <w:rFonts w:hint="eastAsia" w:ascii="宋体" w:hAnsi="宋体" w:eastAsia="宋体" w:cs="宋体"/>
                <w:sz w:val="24"/>
                <w:szCs w:val="24"/>
                <w:highlight w:val="none"/>
              </w:rPr>
            </w:pPr>
            <w:r>
              <w:rPr>
                <w:rFonts w:hint="eastAsia" w:ascii="宋体" w:hAnsi="宋体" w:eastAsia="宋体" w:cs="宋体"/>
                <w:sz w:val="24"/>
                <w:szCs w:val="24"/>
                <w:highlight w:val="none"/>
              </w:rPr>
              <w:t>1、以贿赂或类似贿赂的形式讨好甲方、货物验收人等利害关系人的行为；</w:t>
            </w:r>
          </w:p>
        </w:tc>
      </w:tr>
      <w:tr w14:paraId="5AC1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6787BFF0">
            <w:pPr>
              <w:rPr>
                <w:rFonts w:hint="eastAsia" w:ascii="宋体" w:hAnsi="宋体" w:eastAsia="宋体" w:cs="宋体"/>
                <w:sz w:val="24"/>
                <w:szCs w:val="24"/>
                <w:highlight w:val="none"/>
              </w:rPr>
            </w:pPr>
          </w:p>
        </w:tc>
        <w:tc>
          <w:tcPr>
            <w:tcW w:w="4525" w:type="pct"/>
            <w:gridSpan w:val="4"/>
            <w:shd w:val="clear" w:color="auto" w:fill="auto"/>
            <w:noWrap/>
            <w:vAlign w:val="center"/>
          </w:tcPr>
          <w:p w14:paraId="1E551AF6">
            <w:pPr>
              <w:rPr>
                <w:rFonts w:hint="eastAsia" w:ascii="宋体" w:hAnsi="宋体" w:eastAsia="宋体" w:cs="宋体"/>
                <w:sz w:val="24"/>
                <w:szCs w:val="24"/>
                <w:highlight w:val="none"/>
              </w:rPr>
            </w:pPr>
            <w:r>
              <w:rPr>
                <w:rFonts w:hint="eastAsia" w:ascii="宋体" w:hAnsi="宋体" w:eastAsia="宋体" w:cs="宋体"/>
                <w:sz w:val="24"/>
                <w:szCs w:val="24"/>
                <w:highlight w:val="none"/>
              </w:rPr>
              <w:t>2、食品原料质量问题而引起的食物中毒等食品安全事故；</w:t>
            </w:r>
          </w:p>
        </w:tc>
      </w:tr>
      <w:tr w14:paraId="559A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4BAF14F9">
            <w:pPr>
              <w:rPr>
                <w:rFonts w:hint="eastAsia" w:ascii="宋体" w:hAnsi="宋体" w:eastAsia="宋体" w:cs="宋体"/>
                <w:sz w:val="24"/>
                <w:szCs w:val="24"/>
                <w:highlight w:val="none"/>
              </w:rPr>
            </w:pPr>
          </w:p>
        </w:tc>
        <w:tc>
          <w:tcPr>
            <w:tcW w:w="4525" w:type="pct"/>
            <w:gridSpan w:val="4"/>
            <w:shd w:val="clear" w:color="auto" w:fill="auto"/>
            <w:noWrap/>
            <w:vAlign w:val="center"/>
          </w:tcPr>
          <w:p w14:paraId="514A3993">
            <w:pPr>
              <w:rPr>
                <w:rFonts w:hint="eastAsia" w:ascii="宋体" w:hAnsi="宋体" w:eastAsia="宋体" w:cs="宋体"/>
                <w:sz w:val="24"/>
                <w:szCs w:val="24"/>
                <w:highlight w:val="none"/>
              </w:rPr>
            </w:pPr>
            <w:r>
              <w:rPr>
                <w:rFonts w:hint="eastAsia" w:ascii="宋体" w:hAnsi="宋体" w:eastAsia="宋体" w:cs="宋体"/>
                <w:sz w:val="24"/>
                <w:szCs w:val="24"/>
                <w:highlight w:val="none"/>
              </w:rPr>
              <w:t>3、发现乙方与配送公司串通，虚报配送材料数量；</w:t>
            </w:r>
          </w:p>
        </w:tc>
      </w:tr>
      <w:tr w14:paraId="17A3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vMerge w:val="continue"/>
            <w:shd w:val="clear" w:color="auto" w:fill="auto"/>
            <w:noWrap/>
            <w:vAlign w:val="center"/>
          </w:tcPr>
          <w:p w14:paraId="4CC571E4">
            <w:pPr>
              <w:rPr>
                <w:rFonts w:hint="eastAsia" w:ascii="宋体" w:hAnsi="宋体" w:eastAsia="宋体" w:cs="宋体"/>
                <w:sz w:val="24"/>
                <w:szCs w:val="24"/>
                <w:highlight w:val="none"/>
              </w:rPr>
            </w:pPr>
          </w:p>
        </w:tc>
        <w:tc>
          <w:tcPr>
            <w:tcW w:w="4525" w:type="pct"/>
            <w:gridSpan w:val="4"/>
            <w:shd w:val="clear" w:color="auto" w:fill="auto"/>
            <w:noWrap/>
            <w:vAlign w:val="center"/>
          </w:tcPr>
          <w:p w14:paraId="04346085">
            <w:pPr>
              <w:rPr>
                <w:rFonts w:hint="eastAsia" w:ascii="宋体" w:hAnsi="宋体" w:eastAsia="宋体" w:cs="宋体"/>
                <w:sz w:val="24"/>
                <w:szCs w:val="24"/>
                <w:highlight w:val="none"/>
              </w:rPr>
            </w:pPr>
            <w:r>
              <w:rPr>
                <w:rFonts w:hint="eastAsia" w:ascii="宋体" w:hAnsi="宋体" w:eastAsia="宋体" w:cs="宋体"/>
                <w:sz w:val="24"/>
                <w:szCs w:val="24"/>
                <w:highlight w:val="none"/>
              </w:rPr>
              <w:t>4、提供虚假发票、虚假货物入库单。</w:t>
            </w:r>
          </w:p>
        </w:tc>
      </w:tr>
      <w:tr w14:paraId="2549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74" w:type="pct"/>
            <w:vMerge w:val="continue"/>
            <w:shd w:val="clear" w:color="auto" w:fill="auto"/>
            <w:noWrap/>
            <w:vAlign w:val="center"/>
          </w:tcPr>
          <w:p w14:paraId="62BC0128">
            <w:pPr>
              <w:rPr>
                <w:rFonts w:hint="eastAsia" w:ascii="宋体" w:hAnsi="宋体" w:eastAsia="宋体" w:cs="宋体"/>
                <w:sz w:val="24"/>
                <w:szCs w:val="24"/>
                <w:highlight w:val="none"/>
              </w:rPr>
            </w:pPr>
          </w:p>
        </w:tc>
        <w:tc>
          <w:tcPr>
            <w:tcW w:w="4525" w:type="pct"/>
            <w:gridSpan w:val="4"/>
            <w:shd w:val="clear" w:color="auto" w:fill="auto"/>
            <w:noWrap/>
            <w:vAlign w:val="center"/>
          </w:tcPr>
          <w:p w14:paraId="55420962">
            <w:pPr>
              <w:rPr>
                <w:rFonts w:hint="eastAsia" w:ascii="宋体" w:hAnsi="宋体" w:eastAsia="宋体" w:cs="宋体"/>
                <w:sz w:val="24"/>
                <w:szCs w:val="24"/>
                <w:highlight w:val="none"/>
              </w:rPr>
            </w:pPr>
            <w:r>
              <w:rPr>
                <w:rFonts w:hint="eastAsia" w:ascii="宋体" w:hAnsi="宋体" w:eastAsia="宋体" w:cs="宋体"/>
                <w:sz w:val="24"/>
                <w:szCs w:val="24"/>
                <w:highlight w:val="none"/>
              </w:rPr>
              <w:t>（若出现上述情况，甲方有权不支付当月服务费，没收履约保证金，并取消合同，所发生的一切损失由乙方负责）</w:t>
            </w:r>
          </w:p>
        </w:tc>
      </w:tr>
      <w:tr w14:paraId="28E7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323F2A4D">
            <w:pPr>
              <w:rPr>
                <w:rFonts w:hint="eastAsia" w:ascii="宋体" w:hAnsi="宋体" w:eastAsia="宋体" w:cs="宋体"/>
                <w:sz w:val="24"/>
                <w:szCs w:val="24"/>
                <w:highlight w:val="none"/>
              </w:rPr>
            </w:pPr>
            <w:r>
              <w:rPr>
                <w:rFonts w:hint="eastAsia" w:ascii="宋体" w:hAnsi="宋体" w:eastAsia="宋体" w:cs="宋体"/>
                <w:sz w:val="24"/>
                <w:szCs w:val="24"/>
                <w:highlight w:val="none"/>
              </w:rPr>
              <w:t>考核得分</w:t>
            </w:r>
          </w:p>
        </w:tc>
        <w:tc>
          <w:tcPr>
            <w:tcW w:w="4525" w:type="pct"/>
            <w:gridSpan w:val="4"/>
            <w:shd w:val="clear" w:color="auto" w:fill="auto"/>
            <w:noWrap/>
            <w:vAlign w:val="center"/>
          </w:tcPr>
          <w:p w14:paraId="5BFA8C7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w:t>
            </w:r>
          </w:p>
        </w:tc>
      </w:tr>
      <w:tr w14:paraId="7DC4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4" w:type="pct"/>
            <w:vMerge w:val="restart"/>
            <w:shd w:val="clear" w:color="auto" w:fill="auto"/>
            <w:noWrap/>
            <w:vAlign w:val="center"/>
          </w:tcPr>
          <w:p w14:paraId="76E891BD">
            <w:pPr>
              <w:rPr>
                <w:rFonts w:hint="eastAsia" w:ascii="宋体" w:hAnsi="宋体" w:eastAsia="宋体" w:cs="宋体"/>
                <w:sz w:val="24"/>
                <w:szCs w:val="24"/>
                <w:highlight w:val="none"/>
              </w:rPr>
            </w:pPr>
            <w:r>
              <w:rPr>
                <w:rFonts w:hint="eastAsia" w:ascii="宋体" w:hAnsi="宋体" w:eastAsia="宋体" w:cs="宋体"/>
                <w:sz w:val="24"/>
                <w:szCs w:val="24"/>
                <w:highlight w:val="none"/>
              </w:rPr>
              <w:t>扣罚规则</w:t>
            </w:r>
          </w:p>
        </w:tc>
        <w:tc>
          <w:tcPr>
            <w:tcW w:w="4525" w:type="pct"/>
            <w:gridSpan w:val="4"/>
            <w:shd w:val="clear" w:color="auto" w:fill="auto"/>
            <w:noWrap/>
            <w:vAlign w:val="center"/>
          </w:tcPr>
          <w:p w14:paraId="7B3434B7">
            <w:pPr>
              <w:rPr>
                <w:rFonts w:hint="eastAsia" w:ascii="宋体" w:hAnsi="宋体" w:eastAsia="宋体" w:cs="宋体"/>
                <w:sz w:val="24"/>
                <w:szCs w:val="24"/>
                <w:highlight w:val="none"/>
              </w:rPr>
            </w:pPr>
            <w:r>
              <w:rPr>
                <w:rFonts w:hint="eastAsia" w:ascii="宋体" w:hAnsi="宋体" w:eastAsia="宋体" w:cs="宋体"/>
                <w:sz w:val="24"/>
                <w:szCs w:val="24"/>
                <w:highlight w:val="none"/>
              </w:rPr>
              <w:t>总分在95分或以上时，不扣减费用；</w:t>
            </w:r>
          </w:p>
        </w:tc>
      </w:tr>
      <w:tr w14:paraId="1811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4" w:type="pct"/>
            <w:vMerge w:val="continue"/>
            <w:shd w:val="clear" w:color="auto" w:fill="auto"/>
            <w:noWrap/>
            <w:vAlign w:val="center"/>
          </w:tcPr>
          <w:p w14:paraId="0E24468F">
            <w:pPr>
              <w:rPr>
                <w:rFonts w:hint="eastAsia" w:ascii="宋体" w:hAnsi="宋体" w:eastAsia="宋体" w:cs="宋体"/>
                <w:sz w:val="24"/>
                <w:szCs w:val="24"/>
                <w:highlight w:val="none"/>
              </w:rPr>
            </w:pPr>
          </w:p>
        </w:tc>
        <w:tc>
          <w:tcPr>
            <w:tcW w:w="4525" w:type="pct"/>
            <w:gridSpan w:val="4"/>
            <w:shd w:val="clear" w:color="auto" w:fill="auto"/>
            <w:noWrap/>
            <w:vAlign w:val="center"/>
          </w:tcPr>
          <w:p w14:paraId="6C376E1A">
            <w:pPr>
              <w:rPr>
                <w:rFonts w:hint="eastAsia" w:ascii="宋体" w:hAnsi="宋体" w:eastAsia="宋体" w:cs="宋体"/>
                <w:sz w:val="24"/>
                <w:szCs w:val="24"/>
                <w:highlight w:val="none"/>
              </w:rPr>
            </w:pPr>
            <w:r>
              <w:rPr>
                <w:rFonts w:hint="eastAsia" w:ascii="宋体" w:hAnsi="宋体" w:eastAsia="宋体" w:cs="宋体"/>
                <w:sz w:val="24"/>
                <w:szCs w:val="24"/>
                <w:highlight w:val="none"/>
              </w:rPr>
              <w:t>总分在85~94分时，扣减 (95-总分)×100元；</w:t>
            </w:r>
          </w:p>
        </w:tc>
      </w:tr>
      <w:tr w14:paraId="56B1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4" w:type="pct"/>
            <w:vMerge w:val="continue"/>
            <w:shd w:val="clear" w:color="auto" w:fill="auto"/>
            <w:noWrap/>
            <w:vAlign w:val="center"/>
          </w:tcPr>
          <w:p w14:paraId="59A380C3">
            <w:pPr>
              <w:rPr>
                <w:rFonts w:hint="eastAsia" w:ascii="宋体" w:hAnsi="宋体" w:eastAsia="宋体" w:cs="宋体"/>
                <w:sz w:val="24"/>
                <w:szCs w:val="24"/>
                <w:highlight w:val="none"/>
              </w:rPr>
            </w:pPr>
          </w:p>
        </w:tc>
        <w:tc>
          <w:tcPr>
            <w:tcW w:w="4525" w:type="pct"/>
            <w:gridSpan w:val="4"/>
            <w:shd w:val="clear" w:color="auto" w:fill="auto"/>
            <w:noWrap/>
            <w:vAlign w:val="center"/>
          </w:tcPr>
          <w:p w14:paraId="6E17C485">
            <w:pPr>
              <w:rPr>
                <w:rFonts w:hint="eastAsia" w:ascii="宋体" w:hAnsi="宋体" w:eastAsia="宋体" w:cs="宋体"/>
                <w:sz w:val="24"/>
                <w:szCs w:val="24"/>
                <w:highlight w:val="none"/>
              </w:rPr>
            </w:pPr>
            <w:r>
              <w:rPr>
                <w:rFonts w:hint="eastAsia" w:ascii="宋体" w:hAnsi="宋体" w:eastAsia="宋体" w:cs="宋体"/>
                <w:sz w:val="24"/>
                <w:szCs w:val="24"/>
                <w:highlight w:val="none"/>
              </w:rPr>
              <w:t>总分在75~84分时，扣减 [(85-总分)×200+500] 元；</w:t>
            </w:r>
          </w:p>
        </w:tc>
      </w:tr>
      <w:tr w14:paraId="0FD2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4" w:type="pct"/>
            <w:vMerge w:val="continue"/>
            <w:shd w:val="clear" w:color="auto" w:fill="auto"/>
            <w:noWrap/>
            <w:vAlign w:val="center"/>
          </w:tcPr>
          <w:p w14:paraId="102AD27F">
            <w:pPr>
              <w:rPr>
                <w:rFonts w:hint="eastAsia" w:ascii="宋体" w:hAnsi="宋体" w:eastAsia="宋体" w:cs="宋体"/>
                <w:sz w:val="24"/>
                <w:szCs w:val="24"/>
                <w:highlight w:val="none"/>
              </w:rPr>
            </w:pPr>
          </w:p>
        </w:tc>
        <w:tc>
          <w:tcPr>
            <w:tcW w:w="4525" w:type="pct"/>
            <w:gridSpan w:val="4"/>
            <w:shd w:val="clear" w:color="auto" w:fill="auto"/>
            <w:noWrap/>
            <w:vAlign w:val="center"/>
          </w:tcPr>
          <w:p w14:paraId="27FB8A94">
            <w:pPr>
              <w:rPr>
                <w:rFonts w:hint="eastAsia" w:ascii="宋体" w:hAnsi="宋体" w:eastAsia="宋体" w:cs="宋体"/>
                <w:sz w:val="24"/>
                <w:szCs w:val="24"/>
                <w:highlight w:val="none"/>
              </w:rPr>
            </w:pPr>
            <w:r>
              <w:rPr>
                <w:rFonts w:hint="eastAsia" w:ascii="宋体" w:hAnsi="宋体" w:eastAsia="宋体" w:cs="宋体"/>
                <w:sz w:val="24"/>
                <w:szCs w:val="24"/>
                <w:highlight w:val="none"/>
              </w:rPr>
              <w:t>总分在60~74分时，扣减 [(75-总分)×300+1000] 元；</w:t>
            </w:r>
          </w:p>
        </w:tc>
      </w:tr>
      <w:tr w14:paraId="548A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4" w:type="pct"/>
            <w:vMerge w:val="continue"/>
            <w:shd w:val="clear" w:color="auto" w:fill="auto"/>
            <w:noWrap/>
            <w:vAlign w:val="center"/>
          </w:tcPr>
          <w:p w14:paraId="2378421B">
            <w:pPr>
              <w:rPr>
                <w:rFonts w:hint="eastAsia" w:ascii="宋体" w:hAnsi="宋体" w:eastAsia="宋体" w:cs="宋体"/>
                <w:sz w:val="24"/>
                <w:szCs w:val="24"/>
                <w:highlight w:val="none"/>
              </w:rPr>
            </w:pPr>
          </w:p>
        </w:tc>
        <w:tc>
          <w:tcPr>
            <w:tcW w:w="4525" w:type="pct"/>
            <w:gridSpan w:val="4"/>
            <w:shd w:val="clear" w:color="auto" w:fill="auto"/>
            <w:noWrap/>
            <w:vAlign w:val="center"/>
          </w:tcPr>
          <w:p w14:paraId="21BCAD13">
            <w:pPr>
              <w:rPr>
                <w:rFonts w:hint="eastAsia" w:ascii="宋体" w:hAnsi="宋体" w:eastAsia="宋体" w:cs="宋体"/>
                <w:sz w:val="24"/>
                <w:szCs w:val="24"/>
                <w:highlight w:val="none"/>
              </w:rPr>
            </w:pPr>
            <w:r>
              <w:rPr>
                <w:rFonts w:hint="eastAsia" w:ascii="宋体" w:hAnsi="宋体" w:eastAsia="宋体" w:cs="宋体"/>
                <w:sz w:val="24"/>
                <w:szCs w:val="24"/>
                <w:highlight w:val="none"/>
              </w:rPr>
              <w:t>低于60分扣减当月50%服务费；</w:t>
            </w:r>
          </w:p>
        </w:tc>
      </w:tr>
      <w:tr w14:paraId="7556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vMerge w:val="continue"/>
            <w:shd w:val="clear" w:color="auto" w:fill="auto"/>
            <w:noWrap/>
            <w:vAlign w:val="center"/>
          </w:tcPr>
          <w:p w14:paraId="1B4DB0C6">
            <w:pPr>
              <w:rPr>
                <w:rFonts w:hint="eastAsia" w:ascii="宋体" w:hAnsi="宋体" w:eastAsia="宋体" w:cs="宋体"/>
                <w:sz w:val="24"/>
                <w:szCs w:val="24"/>
                <w:highlight w:val="none"/>
              </w:rPr>
            </w:pPr>
          </w:p>
        </w:tc>
        <w:tc>
          <w:tcPr>
            <w:tcW w:w="4525" w:type="pct"/>
            <w:gridSpan w:val="4"/>
            <w:shd w:val="clear" w:color="auto" w:fill="auto"/>
            <w:noWrap/>
            <w:vAlign w:val="center"/>
          </w:tcPr>
          <w:p w14:paraId="09D0D05F">
            <w:pPr>
              <w:rPr>
                <w:rFonts w:hint="eastAsia" w:ascii="宋体" w:hAnsi="宋体" w:eastAsia="宋体" w:cs="宋体"/>
                <w:sz w:val="24"/>
                <w:szCs w:val="24"/>
                <w:highlight w:val="none"/>
              </w:rPr>
            </w:pPr>
            <w:r>
              <w:rPr>
                <w:rFonts w:hint="eastAsia" w:ascii="宋体" w:hAnsi="宋体" w:eastAsia="宋体" w:cs="宋体"/>
                <w:sz w:val="24"/>
                <w:szCs w:val="24"/>
                <w:highlight w:val="none"/>
              </w:rPr>
              <w:t>一年内累计两个月低于70分，甲方有权上报监管部门，由监管部门取消其中标资格，所发生的一切损失由乙方负责。</w:t>
            </w:r>
          </w:p>
        </w:tc>
      </w:tr>
      <w:tr w14:paraId="1D4F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4" w:type="pct"/>
            <w:shd w:val="clear" w:color="auto" w:fill="auto"/>
            <w:noWrap/>
            <w:vAlign w:val="center"/>
          </w:tcPr>
          <w:p w14:paraId="7F45949C">
            <w:pPr>
              <w:rPr>
                <w:rFonts w:hint="eastAsia" w:ascii="宋体" w:hAnsi="宋体" w:eastAsia="宋体" w:cs="宋体"/>
                <w:sz w:val="24"/>
                <w:szCs w:val="24"/>
                <w:highlight w:val="none"/>
              </w:rPr>
            </w:pPr>
            <w:r>
              <w:rPr>
                <w:rFonts w:hint="eastAsia" w:ascii="宋体" w:hAnsi="宋体" w:eastAsia="宋体" w:cs="宋体"/>
                <w:sz w:val="24"/>
                <w:szCs w:val="24"/>
                <w:highlight w:val="none"/>
              </w:rPr>
              <w:t>本月减扣金额</w:t>
            </w:r>
          </w:p>
        </w:tc>
        <w:tc>
          <w:tcPr>
            <w:tcW w:w="4525" w:type="pct"/>
            <w:gridSpan w:val="4"/>
            <w:shd w:val="clear" w:color="auto" w:fill="auto"/>
            <w:noWrap/>
            <w:vAlign w:val="center"/>
          </w:tcPr>
          <w:p w14:paraId="4E5EFE3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r>
      <w:tr w14:paraId="0FE4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shd w:val="clear" w:color="auto" w:fill="auto"/>
            <w:noWrap/>
            <w:vAlign w:val="center"/>
          </w:tcPr>
          <w:p w14:paraId="40057211">
            <w:pPr>
              <w:rPr>
                <w:rFonts w:hint="eastAsia" w:ascii="宋体" w:hAnsi="宋体" w:eastAsia="宋体" w:cs="宋体"/>
                <w:sz w:val="24"/>
                <w:szCs w:val="24"/>
                <w:highlight w:val="none"/>
              </w:rPr>
            </w:pPr>
            <w:r>
              <w:rPr>
                <w:rFonts w:hint="eastAsia" w:ascii="宋体" w:hAnsi="宋体" w:eastAsia="宋体" w:cs="宋体"/>
                <w:sz w:val="24"/>
                <w:szCs w:val="24"/>
                <w:highlight w:val="none"/>
              </w:rPr>
              <w:t>考核时段：20    年    月   乙方项目负责人签字：         乙方盖章：</w:t>
            </w:r>
          </w:p>
        </w:tc>
      </w:tr>
      <w:tr w14:paraId="7902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shd w:val="clear" w:color="auto" w:fill="auto"/>
            <w:noWrap/>
            <w:vAlign w:val="center"/>
          </w:tcPr>
          <w:p w14:paraId="7E67AB90">
            <w:pPr>
              <w:rPr>
                <w:rFonts w:hint="eastAsia" w:ascii="宋体" w:hAnsi="宋体" w:eastAsia="宋体" w:cs="宋体"/>
                <w:sz w:val="24"/>
                <w:szCs w:val="24"/>
                <w:highlight w:val="none"/>
              </w:rPr>
            </w:pPr>
            <w:r>
              <w:rPr>
                <w:rFonts w:hint="eastAsia" w:ascii="宋体" w:hAnsi="宋体" w:eastAsia="宋体" w:cs="宋体"/>
                <w:sz w:val="24"/>
                <w:szCs w:val="24"/>
                <w:highlight w:val="none"/>
              </w:rPr>
              <w:t>甲方考核人：                        甲方科室负责人：</w:t>
            </w:r>
          </w:p>
        </w:tc>
      </w:tr>
    </w:tbl>
    <w:p w14:paraId="5CA80AA5">
      <w:pPr>
        <w:spacing w:line="360" w:lineRule="auto"/>
        <w:rPr>
          <w:rFonts w:hint="eastAsia" w:hAnsi="宋体"/>
          <w:color w:val="auto"/>
          <w:sz w:val="24"/>
          <w:szCs w:val="24"/>
          <w:highlight w:val="none"/>
        </w:rPr>
      </w:pPr>
      <w:r>
        <w:rPr>
          <w:rFonts w:hint="eastAsia" w:hAnsi="宋体"/>
          <w:color w:val="auto"/>
          <w:sz w:val="24"/>
          <w:szCs w:val="24"/>
          <w:highlight w:val="none"/>
        </w:rPr>
        <w:t>注：</w:t>
      </w:r>
      <w:r>
        <w:rPr>
          <w:rFonts w:hint="eastAsia" w:hAnsi="宋体"/>
          <w:color w:val="auto"/>
          <w:sz w:val="24"/>
          <w:szCs w:val="24"/>
          <w:highlight w:val="none"/>
          <w:lang w:eastAsia="zh-CN"/>
        </w:rPr>
        <w:t>如遇</w:t>
      </w:r>
      <w:r>
        <w:rPr>
          <w:rFonts w:hint="eastAsia" w:hAnsi="宋体"/>
          <w:color w:val="auto"/>
          <w:sz w:val="24"/>
          <w:szCs w:val="24"/>
          <w:highlight w:val="none"/>
        </w:rPr>
        <w:t>厨房改造</w:t>
      </w:r>
      <w:r>
        <w:rPr>
          <w:rFonts w:hint="eastAsia" w:hAnsi="宋体"/>
          <w:color w:val="auto"/>
          <w:sz w:val="24"/>
          <w:szCs w:val="24"/>
          <w:highlight w:val="none"/>
          <w:lang w:eastAsia="zh-CN"/>
        </w:rPr>
        <w:t>或其他特殊情况时</w:t>
      </w:r>
      <w:r>
        <w:rPr>
          <w:rFonts w:hint="eastAsia" w:hAnsi="宋体"/>
          <w:color w:val="auto"/>
          <w:sz w:val="24"/>
          <w:szCs w:val="24"/>
          <w:highlight w:val="none"/>
        </w:rPr>
        <w:t>不使用上述考核表，仅进行满意度调查，考核方式见需求书第二条第（三）点。</w:t>
      </w:r>
    </w:p>
    <w:p w14:paraId="1C754EC9">
      <w:pPr>
        <w:spacing w:line="360" w:lineRule="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七、服务合同的终止</w:t>
      </w:r>
    </w:p>
    <w:p w14:paraId="5B34C53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1.在合同有效期内，发生以下情况时，采购人有权上报监管部门，由监管部门取消其中标资格，违约责任由中标供应商负责，由此造成的一切损失均由中标供应商负责。</w:t>
      </w:r>
    </w:p>
    <w:p w14:paraId="57784F6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1.1中标供应商达不到采购人提出的服务要求，采购人通知整改，中标供应商未按期完成或第二次再出现达不到采购人提出的服务要求的。</w:t>
      </w:r>
    </w:p>
    <w:p w14:paraId="0D8476C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1.2连续三个月满意度均低于85分，或一年内累计有4个月满意度均低于85分。</w:t>
      </w:r>
    </w:p>
    <w:p w14:paraId="622DDE4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1.3未做好员工的沟通、解释工作，由于工作或劳资纠纷等而引起员工罢工的情况发生。</w:t>
      </w:r>
    </w:p>
    <w:p w14:paraId="13D6E0F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1.4因中标供应商原因对采购人造成严重损失或对采购人形象造成严重损害的，采购人有权直接对中标供应商进行处罚，并有权上报监管部门，由监管部门取消其中标资格，违约责任由中标供应商承担。</w:t>
      </w:r>
    </w:p>
    <w:p w14:paraId="50F2DDB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1.5采购人发现中标供应商不给员工购买国家规定的“五险一金”（养老、工伤、医疗、失业、生育，住房公积金），不给员工提供工资单明细的。</w:t>
      </w:r>
    </w:p>
    <w:p w14:paraId="72344C5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1.6在国家、省、市的重要检查或重大突击性任务中，发生属中标供应商质量责任问题，经查属实，且中标供应商不及时或不配合整改，使采购人受到上级批评的。</w:t>
      </w:r>
    </w:p>
    <w:p w14:paraId="72FC7DA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如果一方（“违约方”）违反其在本项目条款下的一项或多项义务，另一方（“受害方”）应通知违约方并指出违约性质。违约方应自收到通知起20天内就通知的违约事宜予以补救。如果上述20天后违约方仍未纠正，受害方届时可书面通知违约方终止合同，在提交终止合同书面通知第30天后，合同应视为终止，违约责任由违约方承担。</w:t>
      </w:r>
    </w:p>
    <w:p w14:paraId="0BA1FC1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若中标供应商在合同有效期间因任何不可抗力因素，包括地震、火灾、战争、洪水、正常的人员来源中断、罢工、动乱及国家紧急情况而延迟或中断提供服务，则中标供应商履行合同的时间应作相应延迟。如延迟时间超过三个月，任何一方均有权选择终止合同，而采购人在合同终止时付清中标供应商因不可抗力因素中断前的到期款项或欠付中标供应商的款项。</w:t>
      </w:r>
    </w:p>
    <w:p w14:paraId="2335C66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4.若中标供应商在运作过程中，由于国家法律法规的变化导致亏损，与采购人充分协商后，无法就增加服务费用达成共识，中标供应商有权终止合约，但至少需要提前两个月通知采购人。</w:t>
      </w:r>
    </w:p>
    <w:p w14:paraId="34C937FA">
      <w:pPr>
        <w:spacing w:line="360" w:lineRule="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八、报价要求</w:t>
      </w:r>
    </w:p>
    <w:p w14:paraId="607DC57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★1.本项目的总价最高限价为</w:t>
      </w:r>
      <w:r>
        <w:rPr>
          <w:rFonts w:hint="eastAsia" w:ascii="宋体" w:hAnsi="宋体" w:cs="宋体"/>
          <w:sz w:val="24"/>
          <w:szCs w:val="24"/>
          <w:highlight w:val="none"/>
          <w:lang w:val="en-US" w:eastAsia="zh-CN"/>
        </w:rPr>
        <w:t>370</w:t>
      </w:r>
      <w:r>
        <w:rPr>
          <w:rFonts w:hint="eastAsia" w:ascii="宋体" w:hAnsi="宋体" w:eastAsia="宋体" w:cs="宋体"/>
          <w:sz w:val="24"/>
          <w:szCs w:val="24"/>
          <w:highlight w:val="none"/>
        </w:rPr>
        <w:t>万元/</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个月，其中人员工资限价</w:t>
      </w:r>
      <w:r>
        <w:rPr>
          <w:rFonts w:hint="eastAsia" w:ascii="宋体" w:hAnsi="宋体" w:cs="宋体"/>
          <w:sz w:val="24"/>
          <w:szCs w:val="24"/>
          <w:highlight w:val="none"/>
          <w:lang w:val="en-US" w:eastAsia="zh-CN"/>
        </w:rPr>
        <w:t>370</w:t>
      </w:r>
      <w:r>
        <w:rPr>
          <w:rFonts w:hint="eastAsia" w:ascii="宋体" w:hAnsi="宋体" w:eastAsia="宋体" w:cs="宋体"/>
          <w:sz w:val="24"/>
          <w:szCs w:val="24"/>
          <w:highlight w:val="none"/>
        </w:rPr>
        <w:t>万元，人员工资总报价=（岗位类型人员单价报价×岗位类型人数）×</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个月</w:t>
      </w:r>
    </w:p>
    <w:p w14:paraId="6A4B382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★2.中标供应商应按照下面的《项目报价明细表》将各岗位报价情况列明，其中“税前工资”栏是中标供应商必须保证各岗位员工能拿到的最低税前收入水平；</w:t>
      </w:r>
    </w:p>
    <w:p w14:paraId="6193E8F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 项目报价明细表</w:t>
      </w:r>
    </w:p>
    <w:tbl>
      <w:tblPr>
        <w:tblStyle w:val="9"/>
        <w:tblW w:w="10950" w:type="dxa"/>
        <w:jc w:val="center"/>
        <w:tblLayout w:type="fixed"/>
        <w:tblCellMar>
          <w:top w:w="0" w:type="dxa"/>
          <w:left w:w="0" w:type="dxa"/>
          <w:bottom w:w="0" w:type="dxa"/>
          <w:right w:w="0" w:type="dxa"/>
        </w:tblCellMar>
      </w:tblPr>
      <w:tblGrid>
        <w:gridCol w:w="240"/>
        <w:gridCol w:w="797"/>
        <w:gridCol w:w="410"/>
        <w:gridCol w:w="411"/>
        <w:gridCol w:w="391"/>
        <w:gridCol w:w="265"/>
        <w:gridCol w:w="911"/>
        <w:gridCol w:w="265"/>
        <w:gridCol w:w="970"/>
        <w:gridCol w:w="382"/>
        <w:gridCol w:w="265"/>
        <w:gridCol w:w="500"/>
        <w:gridCol w:w="265"/>
        <w:gridCol w:w="1205"/>
        <w:gridCol w:w="911"/>
        <w:gridCol w:w="1205"/>
        <w:gridCol w:w="1557"/>
      </w:tblGrid>
      <w:tr w14:paraId="08B87B6A">
        <w:tblPrEx>
          <w:tblCellMar>
            <w:top w:w="0" w:type="dxa"/>
            <w:left w:w="0" w:type="dxa"/>
            <w:bottom w:w="0" w:type="dxa"/>
            <w:right w:w="0" w:type="dxa"/>
          </w:tblCellMar>
        </w:tblPrEx>
        <w:trPr>
          <w:trHeight w:val="300" w:hRule="atLeast"/>
          <w:jc w:val="center"/>
        </w:trPr>
        <w:tc>
          <w:tcPr>
            <w:tcW w:w="240" w:type="dxa"/>
            <w:vMerge w:val="restart"/>
            <w:tcBorders>
              <w:top w:val="doub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9A9C">
            <w:pPr>
              <w:jc w:val="center"/>
              <w:rPr>
                <w:rFonts w:hAnsi="宋体"/>
                <w:sz w:val="21"/>
                <w:szCs w:val="21"/>
                <w:highlight w:val="none"/>
              </w:rPr>
            </w:pPr>
            <w:r>
              <w:rPr>
                <w:rFonts w:hint="eastAsia" w:hAnsi="宋体"/>
                <w:sz w:val="21"/>
                <w:szCs w:val="21"/>
                <w:highlight w:val="none"/>
              </w:rPr>
              <w:t>序号</w:t>
            </w:r>
          </w:p>
        </w:tc>
        <w:tc>
          <w:tcPr>
            <w:tcW w:w="797" w:type="dxa"/>
            <w:vMerge w:val="restart"/>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569A60">
            <w:pPr>
              <w:jc w:val="center"/>
              <w:rPr>
                <w:rFonts w:hAnsi="宋体"/>
                <w:sz w:val="21"/>
                <w:szCs w:val="21"/>
                <w:highlight w:val="none"/>
              </w:rPr>
            </w:pPr>
            <w:r>
              <w:rPr>
                <w:rFonts w:hint="eastAsia" w:hAnsi="宋体"/>
                <w:sz w:val="21"/>
                <w:szCs w:val="21"/>
                <w:highlight w:val="none"/>
              </w:rPr>
              <w:t>分项内容</w:t>
            </w:r>
          </w:p>
        </w:tc>
        <w:tc>
          <w:tcPr>
            <w:tcW w:w="410" w:type="dxa"/>
            <w:vMerge w:val="restart"/>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8054FA">
            <w:pPr>
              <w:jc w:val="center"/>
              <w:rPr>
                <w:rFonts w:hAnsi="宋体"/>
                <w:sz w:val="21"/>
                <w:szCs w:val="21"/>
                <w:highlight w:val="none"/>
              </w:rPr>
            </w:pPr>
            <w:r>
              <w:rPr>
                <w:rFonts w:hint="eastAsia" w:hAnsi="宋体"/>
                <w:sz w:val="21"/>
                <w:szCs w:val="21"/>
                <w:highlight w:val="none"/>
              </w:rPr>
              <w:t>配置服务人员人数</w:t>
            </w:r>
          </w:p>
        </w:tc>
        <w:tc>
          <w:tcPr>
            <w:tcW w:w="411" w:type="dxa"/>
            <w:vMerge w:val="restart"/>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531FDA">
            <w:pPr>
              <w:jc w:val="center"/>
              <w:rPr>
                <w:rFonts w:hAnsi="宋体"/>
                <w:sz w:val="21"/>
                <w:szCs w:val="21"/>
                <w:highlight w:val="none"/>
              </w:rPr>
            </w:pPr>
            <w:r>
              <w:rPr>
                <w:rFonts w:hint="eastAsia" w:hAnsi="宋体"/>
                <w:sz w:val="21"/>
                <w:szCs w:val="21"/>
                <w:highlight w:val="none"/>
              </w:rPr>
              <w:t>税前工资</w:t>
            </w:r>
          </w:p>
        </w:tc>
        <w:tc>
          <w:tcPr>
            <w:tcW w:w="391" w:type="dxa"/>
            <w:vMerge w:val="restart"/>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CDF8D5">
            <w:pPr>
              <w:jc w:val="center"/>
              <w:rPr>
                <w:rFonts w:hAnsi="宋体"/>
                <w:sz w:val="21"/>
                <w:szCs w:val="21"/>
                <w:highlight w:val="none"/>
              </w:rPr>
            </w:pPr>
            <w:r>
              <w:rPr>
                <w:rFonts w:hint="eastAsia" w:hAnsi="宋体"/>
                <w:sz w:val="21"/>
                <w:szCs w:val="21"/>
                <w:highlight w:val="none"/>
              </w:rPr>
              <w:t>绩效工资</w:t>
            </w:r>
          </w:p>
        </w:tc>
        <w:tc>
          <w:tcPr>
            <w:tcW w:w="3558" w:type="dxa"/>
            <w:gridSpan w:val="7"/>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65878B">
            <w:pPr>
              <w:jc w:val="center"/>
              <w:rPr>
                <w:rFonts w:hAnsi="宋体"/>
                <w:sz w:val="21"/>
                <w:szCs w:val="21"/>
                <w:highlight w:val="none"/>
              </w:rPr>
            </w:pPr>
            <w:r>
              <w:rPr>
                <w:rFonts w:hAnsi="宋体"/>
                <w:sz w:val="21"/>
                <w:szCs w:val="21"/>
                <w:highlight w:val="none"/>
              </w:rPr>
              <w:t>费用明细</w:t>
            </w:r>
          </w:p>
        </w:tc>
        <w:tc>
          <w:tcPr>
            <w:tcW w:w="265" w:type="dxa"/>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522605">
            <w:pPr>
              <w:jc w:val="center"/>
              <w:rPr>
                <w:rFonts w:hAnsi="宋体"/>
                <w:sz w:val="21"/>
                <w:szCs w:val="21"/>
                <w:highlight w:val="none"/>
              </w:rPr>
            </w:pPr>
          </w:p>
        </w:tc>
        <w:tc>
          <w:tcPr>
            <w:tcW w:w="1205" w:type="dxa"/>
            <w:vMerge w:val="restart"/>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BBD98F">
            <w:pPr>
              <w:jc w:val="center"/>
              <w:rPr>
                <w:rFonts w:hAnsi="宋体"/>
                <w:sz w:val="21"/>
                <w:szCs w:val="21"/>
                <w:highlight w:val="none"/>
              </w:rPr>
            </w:pPr>
            <w:r>
              <w:rPr>
                <w:rFonts w:hint="eastAsia" w:hAnsi="宋体"/>
                <w:sz w:val="21"/>
                <w:szCs w:val="21"/>
                <w:highlight w:val="none"/>
              </w:rPr>
              <w:t>公司管理费用及利润6%</w:t>
            </w:r>
          </w:p>
        </w:tc>
        <w:tc>
          <w:tcPr>
            <w:tcW w:w="911" w:type="dxa"/>
            <w:vMerge w:val="restart"/>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9885F9">
            <w:pPr>
              <w:jc w:val="center"/>
              <w:rPr>
                <w:rFonts w:hAnsi="宋体"/>
                <w:sz w:val="21"/>
                <w:szCs w:val="21"/>
                <w:highlight w:val="none"/>
              </w:rPr>
            </w:pPr>
            <w:r>
              <w:rPr>
                <w:rFonts w:hint="eastAsia" w:hAnsi="宋体"/>
                <w:sz w:val="21"/>
                <w:szCs w:val="21"/>
                <w:highlight w:val="none"/>
              </w:rPr>
              <w:t>增值税（6.72%）</w:t>
            </w:r>
          </w:p>
        </w:tc>
        <w:tc>
          <w:tcPr>
            <w:tcW w:w="1205" w:type="dxa"/>
            <w:vMerge w:val="restart"/>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1F0BE5">
            <w:pPr>
              <w:jc w:val="center"/>
              <w:rPr>
                <w:rFonts w:hAnsi="宋体"/>
                <w:sz w:val="21"/>
                <w:szCs w:val="21"/>
                <w:highlight w:val="none"/>
              </w:rPr>
            </w:pPr>
            <w:r>
              <w:rPr>
                <w:rFonts w:hint="eastAsia" w:hAnsi="宋体"/>
                <w:sz w:val="21"/>
                <w:szCs w:val="21"/>
                <w:highlight w:val="none"/>
              </w:rPr>
              <w:t>人均单价（元/月.人）</w:t>
            </w:r>
          </w:p>
        </w:tc>
        <w:tc>
          <w:tcPr>
            <w:tcW w:w="1557" w:type="dxa"/>
            <w:vMerge w:val="restart"/>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AF39B7">
            <w:pPr>
              <w:jc w:val="center"/>
              <w:rPr>
                <w:rFonts w:hAnsi="宋体"/>
                <w:sz w:val="21"/>
                <w:szCs w:val="21"/>
                <w:highlight w:val="none"/>
              </w:rPr>
            </w:pPr>
            <w:r>
              <w:rPr>
                <w:rFonts w:hint="eastAsia" w:hAnsi="宋体"/>
                <w:sz w:val="21"/>
                <w:szCs w:val="21"/>
                <w:highlight w:val="none"/>
              </w:rPr>
              <w:t>每月费用小计（小计×人数）</w:t>
            </w:r>
          </w:p>
        </w:tc>
      </w:tr>
      <w:tr w14:paraId="23F71037">
        <w:tblPrEx>
          <w:tblCellMar>
            <w:top w:w="0" w:type="dxa"/>
            <w:left w:w="0" w:type="dxa"/>
            <w:bottom w:w="0" w:type="dxa"/>
            <w:right w:w="0" w:type="dxa"/>
          </w:tblCellMar>
        </w:tblPrEx>
        <w:trPr>
          <w:trHeight w:val="2100" w:hRule="atLeast"/>
          <w:jc w:val="center"/>
        </w:trPr>
        <w:tc>
          <w:tcPr>
            <w:tcW w:w="240" w:type="dxa"/>
            <w:vMerge w:val="continue"/>
            <w:tcBorders>
              <w:top w:val="doub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BF66">
            <w:pPr>
              <w:jc w:val="center"/>
              <w:rPr>
                <w:rFonts w:hAnsi="宋体"/>
                <w:sz w:val="21"/>
                <w:szCs w:val="21"/>
                <w:highlight w:val="none"/>
              </w:rPr>
            </w:pPr>
          </w:p>
        </w:tc>
        <w:tc>
          <w:tcPr>
            <w:tcW w:w="797" w:type="dxa"/>
            <w:vMerge w:val="continue"/>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A619D9">
            <w:pPr>
              <w:jc w:val="center"/>
              <w:rPr>
                <w:rFonts w:hAnsi="宋体"/>
                <w:sz w:val="21"/>
                <w:szCs w:val="21"/>
                <w:highlight w:val="none"/>
              </w:rPr>
            </w:pPr>
          </w:p>
        </w:tc>
        <w:tc>
          <w:tcPr>
            <w:tcW w:w="410" w:type="dxa"/>
            <w:vMerge w:val="continue"/>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49BB90">
            <w:pPr>
              <w:jc w:val="center"/>
              <w:rPr>
                <w:rFonts w:hAnsi="宋体"/>
                <w:sz w:val="21"/>
                <w:szCs w:val="21"/>
                <w:highlight w:val="none"/>
              </w:rPr>
            </w:pPr>
          </w:p>
        </w:tc>
        <w:tc>
          <w:tcPr>
            <w:tcW w:w="411" w:type="dxa"/>
            <w:vMerge w:val="continue"/>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0C78C0">
            <w:pPr>
              <w:jc w:val="center"/>
              <w:rPr>
                <w:rFonts w:hAnsi="宋体"/>
                <w:sz w:val="21"/>
                <w:szCs w:val="21"/>
                <w:highlight w:val="none"/>
              </w:rPr>
            </w:pPr>
          </w:p>
        </w:tc>
        <w:tc>
          <w:tcPr>
            <w:tcW w:w="391" w:type="dxa"/>
            <w:vMerge w:val="continue"/>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089807">
            <w:pPr>
              <w:jc w:val="center"/>
              <w:rPr>
                <w:rFonts w:hAnsi="宋体"/>
                <w:sz w:val="21"/>
                <w:szCs w:val="21"/>
                <w:highlight w:val="none"/>
              </w:rPr>
            </w:pPr>
          </w:p>
        </w:tc>
        <w:tc>
          <w:tcPr>
            <w:tcW w:w="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8CBB3F">
            <w:pPr>
              <w:jc w:val="center"/>
              <w:rPr>
                <w:rFonts w:hAnsi="宋体"/>
                <w:sz w:val="21"/>
                <w:szCs w:val="21"/>
                <w:highlight w:val="none"/>
              </w:rPr>
            </w:pPr>
            <w:r>
              <w:rPr>
                <w:rFonts w:hint="eastAsia" w:hAnsi="宋体"/>
                <w:sz w:val="21"/>
                <w:szCs w:val="21"/>
                <w:highlight w:val="none"/>
              </w:rPr>
              <w:t>社保</w:t>
            </w:r>
          </w:p>
        </w:tc>
        <w:tc>
          <w:tcPr>
            <w:tcW w:w="9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07EBB3">
            <w:pPr>
              <w:jc w:val="center"/>
              <w:rPr>
                <w:rFonts w:hAnsi="宋体"/>
                <w:sz w:val="21"/>
                <w:szCs w:val="21"/>
                <w:highlight w:val="none"/>
              </w:rPr>
            </w:pPr>
            <w:r>
              <w:rPr>
                <w:rFonts w:hint="eastAsia" w:hAnsi="宋体"/>
                <w:sz w:val="21"/>
                <w:szCs w:val="21"/>
                <w:highlight w:val="none"/>
              </w:rPr>
              <w:t>住房公积金（5%)</w:t>
            </w:r>
          </w:p>
        </w:tc>
        <w:tc>
          <w:tcPr>
            <w:tcW w:w="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768AC4">
            <w:pPr>
              <w:jc w:val="center"/>
              <w:rPr>
                <w:rFonts w:hAnsi="宋体"/>
                <w:sz w:val="21"/>
                <w:szCs w:val="21"/>
                <w:highlight w:val="none"/>
              </w:rPr>
            </w:pPr>
            <w:r>
              <w:rPr>
                <w:rFonts w:hint="eastAsia" w:hAnsi="宋体"/>
                <w:sz w:val="21"/>
                <w:szCs w:val="21"/>
                <w:highlight w:val="none"/>
              </w:rPr>
              <w:t>服装</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900D61">
            <w:pPr>
              <w:jc w:val="center"/>
              <w:rPr>
                <w:rFonts w:hAnsi="宋体"/>
                <w:sz w:val="21"/>
                <w:szCs w:val="21"/>
                <w:highlight w:val="none"/>
              </w:rPr>
            </w:pPr>
            <w:r>
              <w:rPr>
                <w:rFonts w:hint="eastAsia" w:hAnsi="宋体"/>
                <w:sz w:val="21"/>
                <w:szCs w:val="21"/>
                <w:highlight w:val="none"/>
              </w:rPr>
              <w:t>残疾人就业保障金</w:t>
            </w:r>
          </w:p>
        </w:tc>
        <w:tc>
          <w:tcPr>
            <w:tcW w:w="3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DD38D8">
            <w:pPr>
              <w:jc w:val="center"/>
              <w:rPr>
                <w:rFonts w:hAnsi="宋体"/>
                <w:sz w:val="21"/>
                <w:szCs w:val="21"/>
                <w:highlight w:val="none"/>
              </w:rPr>
            </w:pPr>
            <w:r>
              <w:rPr>
                <w:rFonts w:hint="eastAsia" w:hAnsi="宋体"/>
                <w:sz w:val="21"/>
                <w:szCs w:val="21"/>
                <w:highlight w:val="none"/>
              </w:rPr>
              <w:t>体检费</w:t>
            </w:r>
          </w:p>
        </w:tc>
        <w:tc>
          <w:tcPr>
            <w:tcW w:w="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8158EC">
            <w:pPr>
              <w:jc w:val="center"/>
              <w:rPr>
                <w:rFonts w:hAnsi="宋体"/>
                <w:sz w:val="21"/>
                <w:szCs w:val="21"/>
                <w:highlight w:val="none"/>
              </w:rPr>
            </w:pPr>
            <w:r>
              <w:rPr>
                <w:rFonts w:hint="eastAsia" w:hAnsi="宋体"/>
                <w:sz w:val="21"/>
                <w:szCs w:val="21"/>
                <w:highlight w:val="none"/>
              </w:rPr>
              <w:t>高温</w:t>
            </w:r>
            <w:r>
              <w:rPr>
                <w:rFonts w:hint="eastAsia" w:hAnsi="宋体"/>
                <w:sz w:val="21"/>
                <w:szCs w:val="21"/>
                <w:highlight w:val="none"/>
              </w:rPr>
              <w:br w:type="textWrapping"/>
            </w:r>
            <w:r>
              <w:rPr>
                <w:rFonts w:hint="eastAsia" w:hAnsi="宋体"/>
                <w:sz w:val="21"/>
                <w:szCs w:val="21"/>
                <w:highlight w:val="none"/>
              </w:rPr>
              <w:t>补贴</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1DBE16">
            <w:pPr>
              <w:jc w:val="center"/>
              <w:rPr>
                <w:rFonts w:hAnsi="宋体"/>
                <w:sz w:val="21"/>
                <w:szCs w:val="21"/>
                <w:highlight w:val="none"/>
              </w:rPr>
            </w:pPr>
            <w:r>
              <w:rPr>
                <w:rFonts w:hint="eastAsia" w:hAnsi="宋体"/>
                <w:sz w:val="21"/>
                <w:szCs w:val="21"/>
                <w:highlight w:val="none"/>
              </w:rPr>
              <w:t>工会费用</w:t>
            </w:r>
          </w:p>
        </w:tc>
        <w:tc>
          <w:tcPr>
            <w:tcW w:w="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4B4838">
            <w:pPr>
              <w:jc w:val="center"/>
              <w:rPr>
                <w:rFonts w:hAnsi="宋体"/>
                <w:sz w:val="21"/>
                <w:szCs w:val="21"/>
                <w:highlight w:val="none"/>
              </w:rPr>
            </w:pPr>
            <w:r>
              <w:rPr>
                <w:rFonts w:hint="eastAsia" w:hAnsi="宋体"/>
                <w:sz w:val="21"/>
                <w:szCs w:val="21"/>
                <w:highlight w:val="none"/>
              </w:rPr>
              <w:t>其他</w:t>
            </w:r>
          </w:p>
        </w:tc>
        <w:tc>
          <w:tcPr>
            <w:tcW w:w="1205" w:type="dxa"/>
            <w:vMerge w:val="continue"/>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064DD9">
            <w:pPr>
              <w:jc w:val="center"/>
              <w:rPr>
                <w:rFonts w:hAnsi="宋体"/>
                <w:sz w:val="21"/>
                <w:szCs w:val="21"/>
                <w:highlight w:val="none"/>
              </w:rPr>
            </w:pPr>
          </w:p>
        </w:tc>
        <w:tc>
          <w:tcPr>
            <w:tcW w:w="911" w:type="dxa"/>
            <w:vMerge w:val="continue"/>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257BFE">
            <w:pPr>
              <w:jc w:val="center"/>
              <w:rPr>
                <w:rFonts w:hAnsi="宋体"/>
                <w:sz w:val="21"/>
                <w:szCs w:val="21"/>
                <w:highlight w:val="none"/>
              </w:rPr>
            </w:pPr>
          </w:p>
        </w:tc>
        <w:tc>
          <w:tcPr>
            <w:tcW w:w="1205" w:type="dxa"/>
            <w:vMerge w:val="continue"/>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945663">
            <w:pPr>
              <w:jc w:val="center"/>
              <w:rPr>
                <w:rFonts w:hAnsi="宋体"/>
                <w:sz w:val="21"/>
                <w:szCs w:val="21"/>
                <w:highlight w:val="none"/>
              </w:rPr>
            </w:pPr>
          </w:p>
        </w:tc>
        <w:tc>
          <w:tcPr>
            <w:tcW w:w="1557" w:type="dxa"/>
            <w:vMerge w:val="continue"/>
            <w:tcBorders>
              <w:top w:val="doub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24ADD9">
            <w:pPr>
              <w:jc w:val="center"/>
              <w:rPr>
                <w:rFonts w:hAnsi="宋体"/>
                <w:sz w:val="21"/>
                <w:szCs w:val="21"/>
                <w:highlight w:val="none"/>
              </w:rPr>
            </w:pPr>
          </w:p>
        </w:tc>
      </w:tr>
      <w:tr w14:paraId="68658C7F">
        <w:tblPrEx>
          <w:tblCellMar>
            <w:top w:w="0" w:type="dxa"/>
            <w:left w:w="0" w:type="dxa"/>
            <w:bottom w:w="0" w:type="dxa"/>
            <w:right w:w="0" w:type="dxa"/>
          </w:tblCellMar>
        </w:tblPrEx>
        <w:trPr>
          <w:trHeight w:val="340" w:hRule="atLeast"/>
          <w:jc w:val="center"/>
        </w:trPr>
        <w:tc>
          <w:tcPr>
            <w:tcW w:w="240" w:type="dxa"/>
            <w:tcBorders>
              <w:top w:val="single" w:color="000000" w:sz="4" w:space="0"/>
              <w:left w:val="doub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16F7BF">
            <w:pPr>
              <w:jc w:val="center"/>
              <w:rPr>
                <w:rFonts w:hAnsi="宋体"/>
                <w:sz w:val="21"/>
                <w:szCs w:val="21"/>
                <w:highlight w:val="none"/>
              </w:rPr>
            </w:pPr>
            <w:r>
              <w:rPr>
                <w:rFonts w:hint="eastAsia" w:hAnsi="宋体"/>
                <w:sz w:val="21"/>
                <w:szCs w:val="21"/>
                <w:highlight w:val="none"/>
              </w:rPr>
              <w:t>1</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019752">
            <w:pPr>
              <w:jc w:val="center"/>
              <w:rPr>
                <w:rFonts w:hAnsi="宋体"/>
                <w:sz w:val="21"/>
                <w:szCs w:val="21"/>
                <w:highlight w:val="none"/>
              </w:rPr>
            </w:pPr>
            <w:r>
              <w:rPr>
                <w:rFonts w:hint="eastAsia" w:hAnsi="宋体"/>
                <w:sz w:val="21"/>
                <w:szCs w:val="21"/>
                <w:highlight w:val="none"/>
              </w:rPr>
              <w:t>项目经理</w:t>
            </w:r>
          </w:p>
        </w:tc>
        <w:tc>
          <w:tcPr>
            <w:tcW w:w="41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715496">
            <w:pPr>
              <w:jc w:val="center"/>
              <w:rPr>
                <w:rFonts w:hAnsi="宋体"/>
                <w:sz w:val="21"/>
                <w:szCs w:val="21"/>
                <w:highlight w:val="none"/>
              </w:rPr>
            </w:pPr>
            <w:r>
              <w:rPr>
                <w:rFonts w:hint="eastAsia" w:hAnsi="宋体"/>
                <w:sz w:val="21"/>
                <w:szCs w:val="21"/>
                <w:highlight w:val="none"/>
              </w:rPr>
              <w:t>1</w:t>
            </w:r>
          </w:p>
        </w:tc>
        <w:tc>
          <w:tcPr>
            <w:tcW w:w="4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6511F8">
            <w:pPr>
              <w:jc w:val="center"/>
              <w:rPr>
                <w:rFonts w:hAnsi="宋体"/>
                <w:sz w:val="21"/>
                <w:szCs w:val="21"/>
                <w:highlight w:val="none"/>
              </w:rPr>
            </w:pPr>
          </w:p>
        </w:tc>
        <w:tc>
          <w:tcPr>
            <w:tcW w:w="3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A8E165">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B472F4">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BA9A5C">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2C74DE">
            <w:pPr>
              <w:jc w:val="center"/>
              <w:rPr>
                <w:rFonts w:hAnsi="宋体"/>
                <w:sz w:val="21"/>
                <w:szCs w:val="21"/>
                <w:highlight w:val="none"/>
              </w:rPr>
            </w:pPr>
          </w:p>
        </w:tc>
        <w:tc>
          <w:tcPr>
            <w:tcW w:w="9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64C3DE">
            <w:pPr>
              <w:jc w:val="center"/>
              <w:rPr>
                <w:rFonts w:hAnsi="宋体"/>
                <w:sz w:val="21"/>
                <w:szCs w:val="21"/>
                <w:highlight w:val="none"/>
              </w:rPr>
            </w:pPr>
          </w:p>
        </w:tc>
        <w:tc>
          <w:tcPr>
            <w:tcW w:w="38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D2539D">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27E60D">
            <w:pPr>
              <w:jc w:val="center"/>
              <w:rPr>
                <w:rFonts w:hAnsi="宋体"/>
                <w:sz w:val="21"/>
                <w:szCs w:val="21"/>
                <w:highlight w:val="none"/>
              </w:rPr>
            </w:pPr>
          </w:p>
        </w:tc>
        <w:tc>
          <w:tcPr>
            <w:tcW w:w="50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41BF0B">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BA1844">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82DE09">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6C6BA2">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B3F4F2">
            <w:pPr>
              <w:jc w:val="center"/>
              <w:rPr>
                <w:rFonts w:hAnsi="宋体"/>
                <w:sz w:val="21"/>
                <w:szCs w:val="21"/>
                <w:highlight w:val="none"/>
              </w:rPr>
            </w:pPr>
          </w:p>
        </w:tc>
        <w:tc>
          <w:tcPr>
            <w:tcW w:w="155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80A4BA">
            <w:pPr>
              <w:jc w:val="center"/>
              <w:rPr>
                <w:rFonts w:hAnsi="宋体"/>
                <w:sz w:val="21"/>
                <w:szCs w:val="21"/>
                <w:highlight w:val="none"/>
              </w:rPr>
            </w:pPr>
          </w:p>
        </w:tc>
      </w:tr>
      <w:tr w14:paraId="4169D5FB">
        <w:tblPrEx>
          <w:tblCellMar>
            <w:top w:w="0" w:type="dxa"/>
            <w:left w:w="0" w:type="dxa"/>
            <w:bottom w:w="0" w:type="dxa"/>
            <w:right w:w="0" w:type="dxa"/>
          </w:tblCellMar>
        </w:tblPrEx>
        <w:trPr>
          <w:trHeight w:val="340" w:hRule="atLeast"/>
          <w:jc w:val="center"/>
        </w:trPr>
        <w:tc>
          <w:tcPr>
            <w:tcW w:w="240" w:type="dxa"/>
            <w:tcBorders>
              <w:top w:val="single" w:color="000000" w:sz="4" w:space="0"/>
              <w:left w:val="doub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1380FA">
            <w:pPr>
              <w:jc w:val="center"/>
              <w:rPr>
                <w:rFonts w:hAnsi="宋体"/>
                <w:sz w:val="21"/>
                <w:szCs w:val="21"/>
                <w:highlight w:val="none"/>
              </w:rPr>
            </w:pPr>
            <w:r>
              <w:rPr>
                <w:rFonts w:hint="eastAsia" w:hAnsi="宋体"/>
                <w:sz w:val="21"/>
                <w:szCs w:val="21"/>
                <w:highlight w:val="none"/>
              </w:rPr>
              <w:t>2</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6780">
            <w:pPr>
              <w:jc w:val="center"/>
              <w:rPr>
                <w:rFonts w:hAnsi="宋体"/>
                <w:sz w:val="21"/>
                <w:szCs w:val="21"/>
                <w:highlight w:val="none"/>
              </w:rPr>
            </w:pPr>
            <w:r>
              <w:rPr>
                <w:rFonts w:hint="eastAsia" w:hAnsi="宋体"/>
                <w:sz w:val="21"/>
                <w:szCs w:val="21"/>
                <w:highlight w:val="none"/>
              </w:rPr>
              <w:t>主厨兼主管</w:t>
            </w:r>
          </w:p>
        </w:tc>
        <w:tc>
          <w:tcPr>
            <w:tcW w:w="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175F73">
            <w:pPr>
              <w:jc w:val="center"/>
              <w:rPr>
                <w:rFonts w:hAnsi="宋体"/>
                <w:sz w:val="21"/>
                <w:szCs w:val="21"/>
                <w:highlight w:val="none"/>
              </w:rPr>
            </w:pPr>
            <w:r>
              <w:rPr>
                <w:rFonts w:hint="eastAsia" w:hAnsi="宋体"/>
                <w:sz w:val="21"/>
                <w:szCs w:val="21"/>
                <w:highlight w:val="none"/>
              </w:rPr>
              <w:t>1</w:t>
            </w:r>
          </w:p>
        </w:tc>
        <w:tc>
          <w:tcPr>
            <w:tcW w:w="4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7B3F40">
            <w:pPr>
              <w:jc w:val="center"/>
              <w:rPr>
                <w:rFonts w:hAnsi="宋体"/>
                <w:sz w:val="21"/>
                <w:szCs w:val="21"/>
                <w:highlight w:val="none"/>
              </w:rPr>
            </w:pPr>
          </w:p>
        </w:tc>
        <w:tc>
          <w:tcPr>
            <w:tcW w:w="3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90D636">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2EDA54">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CAFEA7">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BAB70A">
            <w:pPr>
              <w:jc w:val="center"/>
              <w:rPr>
                <w:rFonts w:hAnsi="宋体"/>
                <w:sz w:val="21"/>
                <w:szCs w:val="21"/>
                <w:highlight w:val="none"/>
              </w:rPr>
            </w:pPr>
          </w:p>
        </w:tc>
        <w:tc>
          <w:tcPr>
            <w:tcW w:w="9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9A4986">
            <w:pPr>
              <w:jc w:val="center"/>
              <w:rPr>
                <w:rFonts w:hAnsi="宋体"/>
                <w:sz w:val="21"/>
                <w:szCs w:val="21"/>
                <w:highlight w:val="none"/>
              </w:rPr>
            </w:pPr>
          </w:p>
        </w:tc>
        <w:tc>
          <w:tcPr>
            <w:tcW w:w="38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D6E004">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122102">
            <w:pPr>
              <w:jc w:val="center"/>
              <w:rPr>
                <w:rFonts w:hAnsi="宋体"/>
                <w:sz w:val="21"/>
                <w:szCs w:val="21"/>
                <w:highlight w:val="none"/>
              </w:rPr>
            </w:pPr>
          </w:p>
        </w:tc>
        <w:tc>
          <w:tcPr>
            <w:tcW w:w="50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B46A75">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66B905">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9C66E9">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13A971">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AA6418">
            <w:pPr>
              <w:jc w:val="center"/>
              <w:rPr>
                <w:rFonts w:hAnsi="宋体"/>
                <w:sz w:val="21"/>
                <w:szCs w:val="21"/>
                <w:highlight w:val="none"/>
              </w:rPr>
            </w:pPr>
          </w:p>
        </w:tc>
        <w:tc>
          <w:tcPr>
            <w:tcW w:w="155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E36BFC">
            <w:pPr>
              <w:jc w:val="center"/>
              <w:rPr>
                <w:rFonts w:hAnsi="宋体"/>
                <w:sz w:val="21"/>
                <w:szCs w:val="21"/>
                <w:highlight w:val="none"/>
              </w:rPr>
            </w:pPr>
          </w:p>
        </w:tc>
      </w:tr>
      <w:tr w14:paraId="2F783BF5">
        <w:tblPrEx>
          <w:tblCellMar>
            <w:top w:w="0" w:type="dxa"/>
            <w:left w:w="0" w:type="dxa"/>
            <w:bottom w:w="0" w:type="dxa"/>
            <w:right w:w="0" w:type="dxa"/>
          </w:tblCellMar>
        </w:tblPrEx>
        <w:trPr>
          <w:trHeight w:val="340" w:hRule="atLeast"/>
          <w:jc w:val="center"/>
        </w:trPr>
        <w:tc>
          <w:tcPr>
            <w:tcW w:w="240" w:type="dxa"/>
            <w:tcBorders>
              <w:top w:val="single" w:color="000000" w:sz="4" w:space="0"/>
              <w:left w:val="doub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41B7C5">
            <w:pPr>
              <w:jc w:val="center"/>
              <w:rPr>
                <w:rFonts w:hAnsi="宋体"/>
                <w:sz w:val="21"/>
                <w:szCs w:val="21"/>
                <w:highlight w:val="none"/>
              </w:rPr>
            </w:pPr>
            <w:r>
              <w:rPr>
                <w:rFonts w:hint="eastAsia" w:hAnsi="宋体"/>
                <w:sz w:val="21"/>
                <w:szCs w:val="21"/>
                <w:highlight w:val="none"/>
              </w:rPr>
              <w:t>3</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ADDD">
            <w:pPr>
              <w:jc w:val="center"/>
              <w:rPr>
                <w:rFonts w:hAnsi="宋体"/>
                <w:sz w:val="21"/>
                <w:szCs w:val="21"/>
                <w:highlight w:val="none"/>
              </w:rPr>
            </w:pPr>
            <w:r>
              <w:rPr>
                <w:rFonts w:hint="eastAsia" w:hAnsi="宋体"/>
                <w:sz w:val="21"/>
                <w:szCs w:val="21"/>
                <w:highlight w:val="none"/>
              </w:rPr>
              <w:t>厨师</w:t>
            </w:r>
          </w:p>
        </w:tc>
        <w:tc>
          <w:tcPr>
            <w:tcW w:w="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9CB190">
            <w:pPr>
              <w:jc w:val="center"/>
              <w:rPr>
                <w:rFonts w:hAnsi="宋体"/>
                <w:sz w:val="21"/>
                <w:szCs w:val="21"/>
                <w:highlight w:val="none"/>
              </w:rPr>
            </w:pPr>
            <w:r>
              <w:rPr>
                <w:rFonts w:hint="eastAsia" w:hAnsi="宋体"/>
                <w:sz w:val="21"/>
                <w:szCs w:val="21"/>
                <w:highlight w:val="none"/>
              </w:rPr>
              <w:t>3</w:t>
            </w:r>
          </w:p>
        </w:tc>
        <w:tc>
          <w:tcPr>
            <w:tcW w:w="4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C6A150">
            <w:pPr>
              <w:jc w:val="center"/>
              <w:rPr>
                <w:rFonts w:hAnsi="宋体"/>
                <w:sz w:val="21"/>
                <w:szCs w:val="21"/>
                <w:highlight w:val="none"/>
              </w:rPr>
            </w:pPr>
          </w:p>
        </w:tc>
        <w:tc>
          <w:tcPr>
            <w:tcW w:w="3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FA2A46">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7FEF0E">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92F6D5">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D93C3C">
            <w:pPr>
              <w:jc w:val="center"/>
              <w:rPr>
                <w:rFonts w:hAnsi="宋体"/>
                <w:sz w:val="21"/>
                <w:szCs w:val="21"/>
                <w:highlight w:val="none"/>
              </w:rPr>
            </w:pPr>
          </w:p>
        </w:tc>
        <w:tc>
          <w:tcPr>
            <w:tcW w:w="9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FA9688">
            <w:pPr>
              <w:jc w:val="center"/>
              <w:rPr>
                <w:rFonts w:hAnsi="宋体"/>
                <w:sz w:val="21"/>
                <w:szCs w:val="21"/>
                <w:highlight w:val="none"/>
              </w:rPr>
            </w:pPr>
          </w:p>
        </w:tc>
        <w:tc>
          <w:tcPr>
            <w:tcW w:w="38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B78E8D">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EEC12E">
            <w:pPr>
              <w:jc w:val="center"/>
              <w:rPr>
                <w:rFonts w:hAnsi="宋体"/>
                <w:sz w:val="21"/>
                <w:szCs w:val="21"/>
                <w:highlight w:val="none"/>
              </w:rPr>
            </w:pPr>
          </w:p>
        </w:tc>
        <w:tc>
          <w:tcPr>
            <w:tcW w:w="50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2A23D0">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1BA8A4">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CE75B6">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E40E83">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52013C">
            <w:pPr>
              <w:jc w:val="center"/>
              <w:rPr>
                <w:rFonts w:hAnsi="宋体"/>
                <w:sz w:val="21"/>
                <w:szCs w:val="21"/>
                <w:highlight w:val="none"/>
              </w:rPr>
            </w:pPr>
          </w:p>
        </w:tc>
        <w:tc>
          <w:tcPr>
            <w:tcW w:w="155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052C4A">
            <w:pPr>
              <w:jc w:val="center"/>
              <w:rPr>
                <w:rFonts w:hAnsi="宋体"/>
                <w:sz w:val="21"/>
                <w:szCs w:val="21"/>
                <w:highlight w:val="none"/>
              </w:rPr>
            </w:pPr>
          </w:p>
        </w:tc>
      </w:tr>
      <w:tr w14:paraId="1C25FBE9">
        <w:tblPrEx>
          <w:tblCellMar>
            <w:top w:w="0" w:type="dxa"/>
            <w:left w:w="0" w:type="dxa"/>
            <w:bottom w:w="0" w:type="dxa"/>
            <w:right w:w="0" w:type="dxa"/>
          </w:tblCellMar>
        </w:tblPrEx>
        <w:trPr>
          <w:trHeight w:val="340" w:hRule="atLeast"/>
          <w:jc w:val="center"/>
        </w:trPr>
        <w:tc>
          <w:tcPr>
            <w:tcW w:w="240" w:type="dxa"/>
            <w:tcBorders>
              <w:top w:val="single" w:color="000000" w:sz="4" w:space="0"/>
              <w:left w:val="doub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504DEB">
            <w:pPr>
              <w:jc w:val="center"/>
              <w:rPr>
                <w:rFonts w:hAnsi="宋体"/>
                <w:sz w:val="21"/>
                <w:szCs w:val="21"/>
                <w:highlight w:val="none"/>
              </w:rPr>
            </w:pPr>
            <w:r>
              <w:rPr>
                <w:rFonts w:hint="eastAsia" w:hAnsi="宋体"/>
                <w:sz w:val="21"/>
                <w:szCs w:val="21"/>
                <w:highlight w:val="none"/>
              </w:rPr>
              <w:t>4</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9743">
            <w:pPr>
              <w:jc w:val="center"/>
              <w:rPr>
                <w:rFonts w:hAnsi="宋体"/>
                <w:sz w:val="21"/>
                <w:szCs w:val="21"/>
                <w:highlight w:val="none"/>
              </w:rPr>
            </w:pPr>
            <w:r>
              <w:rPr>
                <w:rFonts w:hint="eastAsia" w:hAnsi="宋体"/>
                <w:sz w:val="21"/>
                <w:szCs w:val="21"/>
                <w:highlight w:val="none"/>
              </w:rPr>
              <w:t>点心组长</w:t>
            </w:r>
          </w:p>
        </w:tc>
        <w:tc>
          <w:tcPr>
            <w:tcW w:w="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823CA6">
            <w:pPr>
              <w:jc w:val="center"/>
              <w:rPr>
                <w:rFonts w:hAnsi="宋体"/>
                <w:sz w:val="21"/>
                <w:szCs w:val="21"/>
                <w:highlight w:val="none"/>
              </w:rPr>
            </w:pPr>
            <w:r>
              <w:rPr>
                <w:rFonts w:hint="eastAsia" w:hAnsi="宋体"/>
                <w:sz w:val="21"/>
                <w:szCs w:val="21"/>
                <w:highlight w:val="none"/>
              </w:rPr>
              <w:t>1</w:t>
            </w:r>
          </w:p>
        </w:tc>
        <w:tc>
          <w:tcPr>
            <w:tcW w:w="4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EB9DD6">
            <w:pPr>
              <w:jc w:val="center"/>
              <w:rPr>
                <w:rFonts w:hAnsi="宋体"/>
                <w:sz w:val="21"/>
                <w:szCs w:val="21"/>
                <w:highlight w:val="none"/>
              </w:rPr>
            </w:pPr>
          </w:p>
        </w:tc>
        <w:tc>
          <w:tcPr>
            <w:tcW w:w="3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34C0C4">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0210CD">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6B9B67">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61434C">
            <w:pPr>
              <w:jc w:val="center"/>
              <w:rPr>
                <w:rFonts w:hAnsi="宋体"/>
                <w:sz w:val="21"/>
                <w:szCs w:val="21"/>
                <w:highlight w:val="none"/>
              </w:rPr>
            </w:pPr>
          </w:p>
        </w:tc>
        <w:tc>
          <w:tcPr>
            <w:tcW w:w="9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F89999">
            <w:pPr>
              <w:jc w:val="center"/>
              <w:rPr>
                <w:rFonts w:hAnsi="宋体"/>
                <w:sz w:val="21"/>
                <w:szCs w:val="21"/>
                <w:highlight w:val="none"/>
              </w:rPr>
            </w:pPr>
          </w:p>
        </w:tc>
        <w:tc>
          <w:tcPr>
            <w:tcW w:w="38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2D6FE0">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ADCBE1">
            <w:pPr>
              <w:jc w:val="center"/>
              <w:rPr>
                <w:rFonts w:hAnsi="宋体"/>
                <w:sz w:val="21"/>
                <w:szCs w:val="21"/>
                <w:highlight w:val="none"/>
              </w:rPr>
            </w:pPr>
          </w:p>
        </w:tc>
        <w:tc>
          <w:tcPr>
            <w:tcW w:w="50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059F38">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A39FC5">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F7AEAA">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7045C1">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CFAC44">
            <w:pPr>
              <w:jc w:val="center"/>
              <w:rPr>
                <w:rFonts w:hAnsi="宋体"/>
                <w:sz w:val="21"/>
                <w:szCs w:val="21"/>
                <w:highlight w:val="none"/>
              </w:rPr>
            </w:pPr>
          </w:p>
        </w:tc>
        <w:tc>
          <w:tcPr>
            <w:tcW w:w="155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E50FF8">
            <w:pPr>
              <w:jc w:val="center"/>
              <w:rPr>
                <w:rFonts w:hAnsi="宋体"/>
                <w:sz w:val="21"/>
                <w:szCs w:val="21"/>
                <w:highlight w:val="none"/>
              </w:rPr>
            </w:pPr>
          </w:p>
        </w:tc>
      </w:tr>
      <w:tr w14:paraId="17BE11BD">
        <w:tblPrEx>
          <w:tblCellMar>
            <w:top w:w="0" w:type="dxa"/>
            <w:left w:w="0" w:type="dxa"/>
            <w:bottom w:w="0" w:type="dxa"/>
            <w:right w:w="0" w:type="dxa"/>
          </w:tblCellMar>
        </w:tblPrEx>
        <w:trPr>
          <w:trHeight w:val="340" w:hRule="atLeast"/>
          <w:jc w:val="center"/>
        </w:trPr>
        <w:tc>
          <w:tcPr>
            <w:tcW w:w="240" w:type="dxa"/>
            <w:tcBorders>
              <w:top w:val="single" w:color="000000" w:sz="4" w:space="0"/>
              <w:left w:val="doub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77F11F">
            <w:pPr>
              <w:jc w:val="center"/>
              <w:rPr>
                <w:rFonts w:hAnsi="宋体"/>
                <w:sz w:val="21"/>
                <w:szCs w:val="21"/>
                <w:highlight w:val="none"/>
              </w:rPr>
            </w:pPr>
            <w:r>
              <w:rPr>
                <w:rFonts w:hint="eastAsia" w:hAnsi="宋体"/>
                <w:sz w:val="21"/>
                <w:szCs w:val="21"/>
                <w:highlight w:val="none"/>
              </w:rPr>
              <w:t>5</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4E56">
            <w:pPr>
              <w:jc w:val="center"/>
              <w:rPr>
                <w:rFonts w:hAnsi="宋体"/>
                <w:sz w:val="21"/>
                <w:szCs w:val="21"/>
                <w:highlight w:val="none"/>
              </w:rPr>
            </w:pPr>
            <w:r>
              <w:rPr>
                <w:rFonts w:hint="eastAsia" w:hAnsi="宋体"/>
                <w:sz w:val="21"/>
                <w:szCs w:val="21"/>
                <w:highlight w:val="none"/>
              </w:rPr>
              <w:t>点心师</w:t>
            </w:r>
          </w:p>
        </w:tc>
        <w:tc>
          <w:tcPr>
            <w:tcW w:w="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8BF73A">
            <w:pPr>
              <w:jc w:val="center"/>
              <w:rPr>
                <w:rFonts w:hAnsi="宋体"/>
                <w:sz w:val="21"/>
                <w:szCs w:val="21"/>
                <w:highlight w:val="none"/>
              </w:rPr>
            </w:pPr>
            <w:r>
              <w:rPr>
                <w:rFonts w:hint="eastAsia" w:hAnsi="宋体"/>
                <w:sz w:val="21"/>
                <w:szCs w:val="21"/>
                <w:highlight w:val="none"/>
              </w:rPr>
              <w:t>2</w:t>
            </w:r>
          </w:p>
        </w:tc>
        <w:tc>
          <w:tcPr>
            <w:tcW w:w="4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1366FF">
            <w:pPr>
              <w:jc w:val="center"/>
              <w:rPr>
                <w:rFonts w:hAnsi="宋体"/>
                <w:sz w:val="21"/>
                <w:szCs w:val="21"/>
                <w:highlight w:val="none"/>
              </w:rPr>
            </w:pPr>
          </w:p>
        </w:tc>
        <w:tc>
          <w:tcPr>
            <w:tcW w:w="3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04D1C3">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9B1867">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775EB9">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625D08">
            <w:pPr>
              <w:jc w:val="center"/>
              <w:rPr>
                <w:rFonts w:hAnsi="宋体"/>
                <w:sz w:val="21"/>
                <w:szCs w:val="21"/>
                <w:highlight w:val="none"/>
              </w:rPr>
            </w:pPr>
          </w:p>
        </w:tc>
        <w:tc>
          <w:tcPr>
            <w:tcW w:w="9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57B24C">
            <w:pPr>
              <w:jc w:val="center"/>
              <w:rPr>
                <w:rFonts w:hAnsi="宋体"/>
                <w:sz w:val="21"/>
                <w:szCs w:val="21"/>
                <w:highlight w:val="none"/>
              </w:rPr>
            </w:pPr>
          </w:p>
        </w:tc>
        <w:tc>
          <w:tcPr>
            <w:tcW w:w="38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50F2D5">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F52102">
            <w:pPr>
              <w:jc w:val="center"/>
              <w:rPr>
                <w:rFonts w:hAnsi="宋体"/>
                <w:sz w:val="21"/>
                <w:szCs w:val="21"/>
                <w:highlight w:val="none"/>
              </w:rPr>
            </w:pPr>
          </w:p>
        </w:tc>
        <w:tc>
          <w:tcPr>
            <w:tcW w:w="50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80E1A7">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AD2663">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DF51C1">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38A2EB">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DBA586">
            <w:pPr>
              <w:jc w:val="center"/>
              <w:rPr>
                <w:rFonts w:hAnsi="宋体"/>
                <w:sz w:val="21"/>
                <w:szCs w:val="21"/>
                <w:highlight w:val="none"/>
              </w:rPr>
            </w:pPr>
          </w:p>
        </w:tc>
        <w:tc>
          <w:tcPr>
            <w:tcW w:w="155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F84BBD">
            <w:pPr>
              <w:jc w:val="center"/>
              <w:rPr>
                <w:rFonts w:hAnsi="宋体"/>
                <w:sz w:val="21"/>
                <w:szCs w:val="21"/>
                <w:highlight w:val="none"/>
              </w:rPr>
            </w:pPr>
          </w:p>
        </w:tc>
      </w:tr>
      <w:tr w14:paraId="10D5AFDB">
        <w:tblPrEx>
          <w:tblCellMar>
            <w:top w:w="0" w:type="dxa"/>
            <w:left w:w="0" w:type="dxa"/>
            <w:bottom w:w="0" w:type="dxa"/>
            <w:right w:w="0" w:type="dxa"/>
          </w:tblCellMar>
        </w:tblPrEx>
        <w:trPr>
          <w:trHeight w:val="340" w:hRule="atLeast"/>
          <w:jc w:val="center"/>
        </w:trPr>
        <w:tc>
          <w:tcPr>
            <w:tcW w:w="240" w:type="dxa"/>
            <w:tcBorders>
              <w:top w:val="single" w:color="000000" w:sz="4" w:space="0"/>
              <w:left w:val="doub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47DC6B">
            <w:pPr>
              <w:jc w:val="center"/>
              <w:rPr>
                <w:rFonts w:hint="eastAsia" w:hAnsi="宋体" w:eastAsia="宋体"/>
                <w:sz w:val="21"/>
                <w:szCs w:val="21"/>
                <w:highlight w:val="none"/>
                <w:lang w:eastAsia="zh-CN"/>
              </w:rPr>
            </w:pPr>
            <w:r>
              <w:rPr>
                <w:rFonts w:hint="eastAsia" w:hAnsi="宋体"/>
                <w:sz w:val="21"/>
                <w:szCs w:val="21"/>
                <w:highlight w:val="none"/>
                <w:lang w:val="en-US" w:eastAsia="zh-CN"/>
              </w:rPr>
              <w:t>6</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908CE5">
            <w:pPr>
              <w:jc w:val="center"/>
              <w:rPr>
                <w:rFonts w:hAnsi="宋体"/>
                <w:sz w:val="21"/>
                <w:szCs w:val="21"/>
                <w:highlight w:val="none"/>
              </w:rPr>
            </w:pPr>
            <w:r>
              <w:rPr>
                <w:rFonts w:hint="eastAsia" w:hAnsi="宋体"/>
                <w:sz w:val="21"/>
                <w:szCs w:val="21"/>
                <w:highlight w:val="none"/>
              </w:rPr>
              <w:t>厨工组长</w:t>
            </w:r>
          </w:p>
        </w:tc>
        <w:tc>
          <w:tcPr>
            <w:tcW w:w="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A35E47">
            <w:pPr>
              <w:jc w:val="center"/>
              <w:rPr>
                <w:rFonts w:hAnsi="宋体"/>
                <w:sz w:val="21"/>
                <w:szCs w:val="21"/>
                <w:highlight w:val="none"/>
              </w:rPr>
            </w:pPr>
            <w:r>
              <w:rPr>
                <w:rFonts w:hint="eastAsia" w:hAnsi="宋体"/>
                <w:sz w:val="21"/>
                <w:szCs w:val="21"/>
                <w:highlight w:val="none"/>
              </w:rPr>
              <w:t>1</w:t>
            </w:r>
          </w:p>
        </w:tc>
        <w:tc>
          <w:tcPr>
            <w:tcW w:w="4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853792">
            <w:pPr>
              <w:jc w:val="center"/>
              <w:rPr>
                <w:rFonts w:hAnsi="宋体"/>
                <w:sz w:val="21"/>
                <w:szCs w:val="21"/>
                <w:highlight w:val="none"/>
              </w:rPr>
            </w:pPr>
          </w:p>
        </w:tc>
        <w:tc>
          <w:tcPr>
            <w:tcW w:w="3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535506">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105D1C">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F2B5D3">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DB2D67">
            <w:pPr>
              <w:jc w:val="center"/>
              <w:rPr>
                <w:rFonts w:hAnsi="宋体"/>
                <w:sz w:val="21"/>
                <w:szCs w:val="21"/>
                <w:highlight w:val="none"/>
              </w:rPr>
            </w:pPr>
          </w:p>
        </w:tc>
        <w:tc>
          <w:tcPr>
            <w:tcW w:w="9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5D67E3">
            <w:pPr>
              <w:jc w:val="center"/>
              <w:rPr>
                <w:rFonts w:hAnsi="宋体"/>
                <w:sz w:val="21"/>
                <w:szCs w:val="21"/>
                <w:highlight w:val="none"/>
              </w:rPr>
            </w:pPr>
          </w:p>
        </w:tc>
        <w:tc>
          <w:tcPr>
            <w:tcW w:w="38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6CEE52">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DC11B9">
            <w:pPr>
              <w:jc w:val="center"/>
              <w:rPr>
                <w:rFonts w:hAnsi="宋体"/>
                <w:sz w:val="21"/>
                <w:szCs w:val="21"/>
                <w:highlight w:val="none"/>
              </w:rPr>
            </w:pPr>
          </w:p>
        </w:tc>
        <w:tc>
          <w:tcPr>
            <w:tcW w:w="50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9A0949">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B4095C">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7AE924">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C05930">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E7709D">
            <w:pPr>
              <w:jc w:val="center"/>
              <w:rPr>
                <w:rFonts w:hAnsi="宋体"/>
                <w:sz w:val="21"/>
                <w:szCs w:val="21"/>
                <w:highlight w:val="none"/>
              </w:rPr>
            </w:pPr>
          </w:p>
        </w:tc>
        <w:tc>
          <w:tcPr>
            <w:tcW w:w="155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E9D6E4">
            <w:pPr>
              <w:jc w:val="center"/>
              <w:rPr>
                <w:rFonts w:hAnsi="宋体"/>
                <w:sz w:val="21"/>
                <w:szCs w:val="21"/>
                <w:highlight w:val="none"/>
              </w:rPr>
            </w:pPr>
          </w:p>
        </w:tc>
      </w:tr>
      <w:tr w14:paraId="178F82F5">
        <w:tblPrEx>
          <w:tblCellMar>
            <w:top w:w="0" w:type="dxa"/>
            <w:left w:w="0" w:type="dxa"/>
            <w:bottom w:w="0" w:type="dxa"/>
            <w:right w:w="0" w:type="dxa"/>
          </w:tblCellMar>
        </w:tblPrEx>
        <w:trPr>
          <w:trHeight w:val="340" w:hRule="atLeast"/>
          <w:jc w:val="center"/>
        </w:trPr>
        <w:tc>
          <w:tcPr>
            <w:tcW w:w="240" w:type="dxa"/>
            <w:tcBorders>
              <w:top w:val="single" w:color="000000" w:sz="4" w:space="0"/>
              <w:left w:val="doub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EB8E21">
            <w:pPr>
              <w:jc w:val="center"/>
              <w:rPr>
                <w:rFonts w:hint="eastAsia" w:hAnsi="宋体" w:eastAsia="宋体"/>
                <w:sz w:val="21"/>
                <w:szCs w:val="21"/>
                <w:highlight w:val="none"/>
                <w:lang w:eastAsia="zh-CN"/>
              </w:rPr>
            </w:pPr>
            <w:r>
              <w:rPr>
                <w:rFonts w:hint="eastAsia" w:hAnsi="宋体"/>
                <w:sz w:val="21"/>
                <w:szCs w:val="21"/>
                <w:highlight w:val="none"/>
                <w:lang w:val="en-US" w:eastAsia="zh-CN"/>
              </w:rPr>
              <w:t>7</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E8B270">
            <w:pPr>
              <w:jc w:val="center"/>
              <w:rPr>
                <w:rFonts w:hAnsi="宋体"/>
                <w:sz w:val="21"/>
                <w:szCs w:val="21"/>
                <w:highlight w:val="none"/>
              </w:rPr>
            </w:pPr>
            <w:r>
              <w:rPr>
                <w:rFonts w:hint="eastAsia" w:hAnsi="宋体"/>
                <w:sz w:val="21"/>
                <w:szCs w:val="21"/>
                <w:highlight w:val="none"/>
              </w:rPr>
              <w:t>厨工</w:t>
            </w:r>
          </w:p>
        </w:tc>
        <w:tc>
          <w:tcPr>
            <w:tcW w:w="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4428E5">
            <w:pPr>
              <w:jc w:val="center"/>
              <w:rPr>
                <w:rFonts w:hAnsi="宋体"/>
                <w:sz w:val="21"/>
                <w:szCs w:val="21"/>
                <w:highlight w:val="none"/>
              </w:rPr>
            </w:pPr>
            <w:r>
              <w:rPr>
                <w:rFonts w:hint="eastAsia" w:hAnsi="宋体"/>
                <w:sz w:val="21"/>
                <w:szCs w:val="21"/>
                <w:highlight w:val="none"/>
              </w:rPr>
              <w:t>11</w:t>
            </w:r>
          </w:p>
        </w:tc>
        <w:tc>
          <w:tcPr>
            <w:tcW w:w="4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78111F">
            <w:pPr>
              <w:jc w:val="center"/>
              <w:rPr>
                <w:rFonts w:hAnsi="宋体"/>
                <w:sz w:val="21"/>
                <w:szCs w:val="21"/>
                <w:highlight w:val="none"/>
              </w:rPr>
            </w:pPr>
          </w:p>
        </w:tc>
        <w:tc>
          <w:tcPr>
            <w:tcW w:w="3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F1CC89">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A3279F">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5FC1BC">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7F72F7">
            <w:pPr>
              <w:jc w:val="center"/>
              <w:rPr>
                <w:rFonts w:hAnsi="宋体"/>
                <w:sz w:val="21"/>
                <w:szCs w:val="21"/>
                <w:highlight w:val="none"/>
              </w:rPr>
            </w:pPr>
          </w:p>
        </w:tc>
        <w:tc>
          <w:tcPr>
            <w:tcW w:w="9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6EBAD2">
            <w:pPr>
              <w:jc w:val="center"/>
              <w:rPr>
                <w:rFonts w:hAnsi="宋体"/>
                <w:sz w:val="21"/>
                <w:szCs w:val="21"/>
                <w:highlight w:val="none"/>
              </w:rPr>
            </w:pPr>
          </w:p>
        </w:tc>
        <w:tc>
          <w:tcPr>
            <w:tcW w:w="38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95AA7F">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88844B">
            <w:pPr>
              <w:jc w:val="center"/>
              <w:rPr>
                <w:rFonts w:hAnsi="宋体"/>
                <w:sz w:val="21"/>
                <w:szCs w:val="21"/>
                <w:highlight w:val="none"/>
              </w:rPr>
            </w:pPr>
          </w:p>
        </w:tc>
        <w:tc>
          <w:tcPr>
            <w:tcW w:w="50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B3D887">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31AE05">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68966E">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2B8FF0">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CD07D2">
            <w:pPr>
              <w:jc w:val="center"/>
              <w:rPr>
                <w:rFonts w:hAnsi="宋体"/>
                <w:sz w:val="21"/>
                <w:szCs w:val="21"/>
                <w:highlight w:val="none"/>
              </w:rPr>
            </w:pPr>
          </w:p>
        </w:tc>
        <w:tc>
          <w:tcPr>
            <w:tcW w:w="155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AA1222">
            <w:pPr>
              <w:jc w:val="center"/>
              <w:rPr>
                <w:rFonts w:hAnsi="宋体"/>
                <w:sz w:val="21"/>
                <w:szCs w:val="21"/>
                <w:highlight w:val="none"/>
              </w:rPr>
            </w:pPr>
          </w:p>
        </w:tc>
      </w:tr>
      <w:tr w14:paraId="02099A78">
        <w:tblPrEx>
          <w:tblCellMar>
            <w:top w:w="0" w:type="dxa"/>
            <w:left w:w="0" w:type="dxa"/>
            <w:bottom w:w="0" w:type="dxa"/>
            <w:right w:w="0" w:type="dxa"/>
          </w:tblCellMar>
        </w:tblPrEx>
        <w:trPr>
          <w:trHeight w:val="340" w:hRule="atLeast"/>
          <w:jc w:val="center"/>
        </w:trPr>
        <w:tc>
          <w:tcPr>
            <w:tcW w:w="240" w:type="dxa"/>
            <w:tcBorders>
              <w:top w:val="single" w:color="000000" w:sz="4" w:space="0"/>
              <w:left w:val="doub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03E8A7">
            <w:pPr>
              <w:jc w:val="center"/>
              <w:rPr>
                <w:rFonts w:hint="eastAsia" w:hAnsi="宋体" w:eastAsia="宋体"/>
                <w:sz w:val="21"/>
                <w:szCs w:val="21"/>
                <w:highlight w:val="none"/>
                <w:lang w:eastAsia="zh-CN"/>
              </w:rPr>
            </w:pPr>
            <w:r>
              <w:rPr>
                <w:rFonts w:hint="eastAsia" w:hAnsi="宋体"/>
                <w:sz w:val="21"/>
                <w:szCs w:val="21"/>
                <w:highlight w:val="none"/>
                <w:lang w:val="en-US" w:eastAsia="zh-CN"/>
              </w:rPr>
              <w:t>8</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EB800D">
            <w:pPr>
              <w:jc w:val="center"/>
              <w:rPr>
                <w:rFonts w:hAnsi="宋体"/>
                <w:sz w:val="21"/>
                <w:szCs w:val="21"/>
                <w:highlight w:val="none"/>
              </w:rPr>
            </w:pPr>
            <w:r>
              <w:rPr>
                <w:rFonts w:hint="eastAsia" w:hAnsi="宋体"/>
                <w:sz w:val="21"/>
                <w:szCs w:val="21"/>
                <w:highlight w:val="none"/>
              </w:rPr>
              <w:t>配餐班长</w:t>
            </w:r>
          </w:p>
        </w:tc>
        <w:tc>
          <w:tcPr>
            <w:tcW w:w="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235F4E">
            <w:pPr>
              <w:jc w:val="center"/>
              <w:rPr>
                <w:rFonts w:hAnsi="宋体"/>
                <w:sz w:val="21"/>
                <w:szCs w:val="21"/>
                <w:highlight w:val="none"/>
              </w:rPr>
            </w:pPr>
            <w:r>
              <w:rPr>
                <w:rFonts w:hint="eastAsia" w:hAnsi="宋体"/>
                <w:sz w:val="21"/>
                <w:szCs w:val="21"/>
                <w:highlight w:val="none"/>
              </w:rPr>
              <w:t>1</w:t>
            </w:r>
          </w:p>
        </w:tc>
        <w:tc>
          <w:tcPr>
            <w:tcW w:w="4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5AFFF5">
            <w:pPr>
              <w:jc w:val="center"/>
              <w:rPr>
                <w:rFonts w:hAnsi="宋体"/>
                <w:sz w:val="21"/>
                <w:szCs w:val="21"/>
                <w:highlight w:val="none"/>
              </w:rPr>
            </w:pPr>
          </w:p>
        </w:tc>
        <w:tc>
          <w:tcPr>
            <w:tcW w:w="3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1C93A0">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276366">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D5564E">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F06B5B">
            <w:pPr>
              <w:jc w:val="center"/>
              <w:rPr>
                <w:rFonts w:hAnsi="宋体"/>
                <w:sz w:val="21"/>
                <w:szCs w:val="21"/>
                <w:highlight w:val="none"/>
              </w:rPr>
            </w:pPr>
          </w:p>
        </w:tc>
        <w:tc>
          <w:tcPr>
            <w:tcW w:w="9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30EE1D">
            <w:pPr>
              <w:jc w:val="center"/>
              <w:rPr>
                <w:rFonts w:hAnsi="宋体"/>
                <w:sz w:val="21"/>
                <w:szCs w:val="21"/>
                <w:highlight w:val="none"/>
              </w:rPr>
            </w:pPr>
          </w:p>
        </w:tc>
        <w:tc>
          <w:tcPr>
            <w:tcW w:w="38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75BC60">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4B0CDB">
            <w:pPr>
              <w:jc w:val="center"/>
              <w:rPr>
                <w:rFonts w:hAnsi="宋体"/>
                <w:sz w:val="21"/>
                <w:szCs w:val="21"/>
                <w:highlight w:val="none"/>
              </w:rPr>
            </w:pPr>
          </w:p>
        </w:tc>
        <w:tc>
          <w:tcPr>
            <w:tcW w:w="50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5FF385">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40D289">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E3DD57">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06C013">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B38632">
            <w:pPr>
              <w:jc w:val="center"/>
              <w:rPr>
                <w:rFonts w:hAnsi="宋体"/>
                <w:sz w:val="21"/>
                <w:szCs w:val="21"/>
                <w:highlight w:val="none"/>
              </w:rPr>
            </w:pPr>
          </w:p>
        </w:tc>
        <w:tc>
          <w:tcPr>
            <w:tcW w:w="155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2D04B2">
            <w:pPr>
              <w:jc w:val="center"/>
              <w:rPr>
                <w:rFonts w:hAnsi="宋体"/>
                <w:sz w:val="21"/>
                <w:szCs w:val="21"/>
                <w:highlight w:val="none"/>
              </w:rPr>
            </w:pPr>
          </w:p>
        </w:tc>
      </w:tr>
      <w:tr w14:paraId="797E53B2">
        <w:tblPrEx>
          <w:tblCellMar>
            <w:top w:w="0" w:type="dxa"/>
            <w:left w:w="0" w:type="dxa"/>
            <w:bottom w:w="0" w:type="dxa"/>
            <w:right w:w="0" w:type="dxa"/>
          </w:tblCellMar>
        </w:tblPrEx>
        <w:trPr>
          <w:trHeight w:val="340" w:hRule="atLeast"/>
          <w:jc w:val="center"/>
        </w:trPr>
        <w:tc>
          <w:tcPr>
            <w:tcW w:w="240" w:type="dxa"/>
            <w:tcBorders>
              <w:top w:val="single" w:color="000000" w:sz="4" w:space="0"/>
              <w:left w:val="doub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FF8E8C">
            <w:pPr>
              <w:jc w:val="center"/>
              <w:rPr>
                <w:rFonts w:hint="eastAsia" w:hAnsi="宋体" w:eastAsia="宋体"/>
                <w:sz w:val="21"/>
                <w:szCs w:val="21"/>
                <w:highlight w:val="none"/>
                <w:lang w:eastAsia="zh-CN"/>
              </w:rPr>
            </w:pPr>
            <w:r>
              <w:rPr>
                <w:rFonts w:hint="eastAsia" w:hAnsi="宋体"/>
                <w:sz w:val="21"/>
                <w:szCs w:val="21"/>
                <w:highlight w:val="none"/>
                <w:lang w:val="en-US" w:eastAsia="zh-CN"/>
              </w:rPr>
              <w:t>9</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A2EF2A">
            <w:pPr>
              <w:jc w:val="center"/>
              <w:rPr>
                <w:rFonts w:hAnsi="宋体"/>
                <w:sz w:val="21"/>
                <w:szCs w:val="21"/>
                <w:highlight w:val="none"/>
              </w:rPr>
            </w:pPr>
            <w:r>
              <w:rPr>
                <w:rFonts w:hint="eastAsia" w:hAnsi="宋体"/>
                <w:sz w:val="21"/>
                <w:szCs w:val="21"/>
                <w:highlight w:val="none"/>
              </w:rPr>
              <w:t>配餐员</w:t>
            </w:r>
          </w:p>
        </w:tc>
        <w:tc>
          <w:tcPr>
            <w:tcW w:w="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39FB17">
            <w:pPr>
              <w:jc w:val="center"/>
              <w:rPr>
                <w:rFonts w:hAnsi="宋体"/>
                <w:sz w:val="21"/>
                <w:szCs w:val="21"/>
                <w:highlight w:val="none"/>
              </w:rPr>
            </w:pPr>
            <w:r>
              <w:rPr>
                <w:rFonts w:hint="eastAsia" w:hAnsi="宋体"/>
                <w:sz w:val="21"/>
                <w:szCs w:val="21"/>
                <w:highlight w:val="none"/>
              </w:rPr>
              <w:t>3</w:t>
            </w:r>
          </w:p>
        </w:tc>
        <w:tc>
          <w:tcPr>
            <w:tcW w:w="4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7C5E4A">
            <w:pPr>
              <w:jc w:val="center"/>
              <w:rPr>
                <w:rFonts w:hAnsi="宋体"/>
                <w:sz w:val="21"/>
                <w:szCs w:val="21"/>
                <w:highlight w:val="none"/>
              </w:rPr>
            </w:pPr>
          </w:p>
        </w:tc>
        <w:tc>
          <w:tcPr>
            <w:tcW w:w="3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2226F5">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633314">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3C6613">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6DEC72">
            <w:pPr>
              <w:jc w:val="center"/>
              <w:rPr>
                <w:rFonts w:hAnsi="宋体"/>
                <w:sz w:val="21"/>
                <w:szCs w:val="21"/>
                <w:highlight w:val="none"/>
              </w:rPr>
            </w:pPr>
          </w:p>
        </w:tc>
        <w:tc>
          <w:tcPr>
            <w:tcW w:w="9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546A39">
            <w:pPr>
              <w:jc w:val="center"/>
              <w:rPr>
                <w:rFonts w:hAnsi="宋体"/>
                <w:sz w:val="21"/>
                <w:szCs w:val="21"/>
                <w:highlight w:val="none"/>
              </w:rPr>
            </w:pPr>
          </w:p>
        </w:tc>
        <w:tc>
          <w:tcPr>
            <w:tcW w:w="38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43C752">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4ADEB0">
            <w:pPr>
              <w:jc w:val="center"/>
              <w:rPr>
                <w:rFonts w:hAnsi="宋体"/>
                <w:sz w:val="21"/>
                <w:szCs w:val="21"/>
                <w:highlight w:val="none"/>
              </w:rPr>
            </w:pPr>
          </w:p>
        </w:tc>
        <w:tc>
          <w:tcPr>
            <w:tcW w:w="50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23CC20">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3D4FE0">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A91FD7">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1BBB91">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1A44F2">
            <w:pPr>
              <w:jc w:val="center"/>
              <w:rPr>
                <w:rFonts w:hAnsi="宋体"/>
                <w:sz w:val="21"/>
                <w:szCs w:val="21"/>
                <w:highlight w:val="none"/>
              </w:rPr>
            </w:pPr>
          </w:p>
        </w:tc>
        <w:tc>
          <w:tcPr>
            <w:tcW w:w="155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A7AFCB">
            <w:pPr>
              <w:jc w:val="center"/>
              <w:rPr>
                <w:rFonts w:hAnsi="宋体"/>
                <w:sz w:val="21"/>
                <w:szCs w:val="21"/>
                <w:highlight w:val="none"/>
              </w:rPr>
            </w:pPr>
          </w:p>
        </w:tc>
      </w:tr>
      <w:tr w14:paraId="3A37F662">
        <w:tblPrEx>
          <w:tblCellMar>
            <w:top w:w="0" w:type="dxa"/>
            <w:left w:w="0" w:type="dxa"/>
            <w:bottom w:w="0" w:type="dxa"/>
            <w:right w:w="0" w:type="dxa"/>
          </w:tblCellMar>
        </w:tblPrEx>
        <w:trPr>
          <w:trHeight w:val="340" w:hRule="atLeast"/>
          <w:jc w:val="center"/>
        </w:trPr>
        <w:tc>
          <w:tcPr>
            <w:tcW w:w="240" w:type="dxa"/>
            <w:tcBorders>
              <w:top w:val="single" w:color="000000" w:sz="4" w:space="0"/>
              <w:left w:val="doub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FBF1E0">
            <w:pPr>
              <w:jc w:val="center"/>
              <w:rPr>
                <w:rFonts w:hint="default" w:hAnsi="宋体" w:eastAsia="宋体"/>
                <w:sz w:val="21"/>
                <w:szCs w:val="21"/>
                <w:highlight w:val="none"/>
                <w:lang w:val="en-US" w:eastAsia="zh-CN"/>
              </w:rPr>
            </w:pPr>
            <w:r>
              <w:rPr>
                <w:rFonts w:hint="eastAsia" w:hAnsi="宋体"/>
                <w:sz w:val="21"/>
                <w:szCs w:val="21"/>
                <w:highlight w:val="none"/>
                <w:lang w:val="en-US" w:eastAsia="zh-CN"/>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30B54E">
            <w:pPr>
              <w:jc w:val="center"/>
              <w:rPr>
                <w:rFonts w:hint="default" w:hAnsi="宋体" w:eastAsia="宋体"/>
                <w:sz w:val="21"/>
                <w:szCs w:val="21"/>
                <w:highlight w:val="none"/>
                <w:lang w:val="en-US" w:eastAsia="zh-CN"/>
              </w:rPr>
            </w:pPr>
            <w:r>
              <w:rPr>
                <w:rFonts w:hint="eastAsia" w:hAnsi="宋体"/>
                <w:sz w:val="21"/>
                <w:szCs w:val="21"/>
                <w:highlight w:val="none"/>
                <w:lang w:val="en-US" w:eastAsia="zh-CN"/>
              </w:rPr>
              <w:t>文员/</w:t>
            </w:r>
            <w:r>
              <w:rPr>
                <w:rFonts w:hint="eastAsia" w:hAnsi="宋体"/>
                <w:sz w:val="21"/>
                <w:szCs w:val="21"/>
                <w:highlight w:val="none"/>
                <w:lang w:eastAsia="zh-CN"/>
              </w:rPr>
              <w:t>仓管</w:t>
            </w:r>
            <w:r>
              <w:rPr>
                <w:rFonts w:hint="eastAsia" w:hAnsi="宋体"/>
                <w:sz w:val="21"/>
                <w:szCs w:val="21"/>
                <w:highlight w:val="none"/>
                <w:lang w:val="en-US" w:eastAsia="zh-CN"/>
              </w:rPr>
              <w:t>员</w:t>
            </w:r>
          </w:p>
        </w:tc>
        <w:tc>
          <w:tcPr>
            <w:tcW w:w="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750E0B">
            <w:pPr>
              <w:jc w:val="center"/>
              <w:rPr>
                <w:rFonts w:hAnsi="宋体"/>
                <w:sz w:val="21"/>
                <w:szCs w:val="21"/>
                <w:highlight w:val="none"/>
              </w:rPr>
            </w:pPr>
            <w:r>
              <w:rPr>
                <w:rFonts w:hint="eastAsia" w:hAnsi="宋体"/>
                <w:sz w:val="21"/>
                <w:szCs w:val="21"/>
                <w:highlight w:val="none"/>
              </w:rPr>
              <w:t>1</w:t>
            </w:r>
          </w:p>
        </w:tc>
        <w:tc>
          <w:tcPr>
            <w:tcW w:w="4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812C5A">
            <w:pPr>
              <w:jc w:val="center"/>
              <w:rPr>
                <w:rFonts w:hAnsi="宋体"/>
                <w:sz w:val="21"/>
                <w:szCs w:val="21"/>
                <w:highlight w:val="none"/>
              </w:rPr>
            </w:pPr>
          </w:p>
        </w:tc>
        <w:tc>
          <w:tcPr>
            <w:tcW w:w="3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DCFE6F">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27B8F7">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F13C97">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371CF8">
            <w:pPr>
              <w:jc w:val="center"/>
              <w:rPr>
                <w:rFonts w:hAnsi="宋体"/>
                <w:sz w:val="21"/>
                <w:szCs w:val="21"/>
                <w:highlight w:val="none"/>
              </w:rPr>
            </w:pPr>
          </w:p>
        </w:tc>
        <w:tc>
          <w:tcPr>
            <w:tcW w:w="9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246F52">
            <w:pPr>
              <w:jc w:val="center"/>
              <w:rPr>
                <w:rFonts w:hAnsi="宋体"/>
                <w:sz w:val="21"/>
                <w:szCs w:val="21"/>
                <w:highlight w:val="none"/>
              </w:rPr>
            </w:pPr>
          </w:p>
        </w:tc>
        <w:tc>
          <w:tcPr>
            <w:tcW w:w="38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5F5EA1">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0CAA3C">
            <w:pPr>
              <w:jc w:val="center"/>
              <w:rPr>
                <w:rFonts w:hAnsi="宋体"/>
                <w:sz w:val="21"/>
                <w:szCs w:val="21"/>
                <w:highlight w:val="none"/>
              </w:rPr>
            </w:pPr>
          </w:p>
        </w:tc>
        <w:tc>
          <w:tcPr>
            <w:tcW w:w="50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E35DEE">
            <w:pPr>
              <w:jc w:val="center"/>
              <w:rPr>
                <w:rFonts w:hAnsi="宋体"/>
                <w:sz w:val="21"/>
                <w:szCs w:val="21"/>
                <w:highlight w:val="none"/>
              </w:rPr>
            </w:pPr>
          </w:p>
        </w:tc>
        <w:tc>
          <w:tcPr>
            <w:tcW w:w="26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6740ED">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6C54B1">
            <w:pPr>
              <w:jc w:val="center"/>
              <w:rPr>
                <w:rFonts w:hAnsi="宋体"/>
                <w:sz w:val="21"/>
                <w:szCs w:val="21"/>
                <w:highlight w:val="none"/>
              </w:rPr>
            </w:pPr>
          </w:p>
        </w:tc>
        <w:tc>
          <w:tcPr>
            <w:tcW w:w="91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8C7AFB">
            <w:pPr>
              <w:jc w:val="center"/>
              <w:rPr>
                <w:rFonts w:hAnsi="宋体"/>
                <w:sz w:val="21"/>
                <w:szCs w:val="21"/>
                <w:highlight w:val="none"/>
              </w:rPr>
            </w:pPr>
          </w:p>
        </w:tc>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4A96E1">
            <w:pPr>
              <w:jc w:val="center"/>
              <w:rPr>
                <w:rFonts w:hAnsi="宋体"/>
                <w:sz w:val="21"/>
                <w:szCs w:val="21"/>
                <w:highlight w:val="none"/>
              </w:rPr>
            </w:pPr>
          </w:p>
        </w:tc>
        <w:tc>
          <w:tcPr>
            <w:tcW w:w="155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F752D7">
            <w:pPr>
              <w:jc w:val="center"/>
              <w:rPr>
                <w:rFonts w:hAnsi="宋体"/>
                <w:sz w:val="21"/>
                <w:szCs w:val="21"/>
                <w:highlight w:val="none"/>
              </w:rPr>
            </w:pPr>
          </w:p>
        </w:tc>
      </w:tr>
      <w:tr w14:paraId="5C0813AC">
        <w:tblPrEx>
          <w:tblCellMar>
            <w:top w:w="0" w:type="dxa"/>
            <w:left w:w="0" w:type="dxa"/>
            <w:bottom w:w="0" w:type="dxa"/>
            <w:right w:w="0" w:type="dxa"/>
          </w:tblCellMar>
        </w:tblPrEx>
        <w:trPr>
          <w:trHeight w:val="495" w:hRule="atLeast"/>
          <w:jc w:val="center"/>
        </w:trPr>
        <w:tc>
          <w:tcPr>
            <w:tcW w:w="240" w:type="dxa"/>
            <w:tcBorders>
              <w:top w:val="single" w:color="000000" w:sz="4" w:space="0"/>
              <w:left w:val="doub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9FB27B">
            <w:pPr>
              <w:jc w:val="center"/>
              <w:rPr>
                <w:rFonts w:hAnsi="宋体"/>
                <w:sz w:val="21"/>
                <w:szCs w:val="21"/>
                <w:highlight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9B4B">
            <w:pPr>
              <w:jc w:val="center"/>
              <w:rPr>
                <w:rFonts w:hAnsi="宋体"/>
                <w:sz w:val="21"/>
                <w:szCs w:val="21"/>
                <w:highlight w:val="none"/>
              </w:rPr>
            </w:pPr>
            <w:r>
              <w:rPr>
                <w:rFonts w:hint="eastAsia" w:hAnsi="宋体"/>
                <w:sz w:val="21"/>
                <w:szCs w:val="21"/>
                <w:highlight w:val="none"/>
              </w:rPr>
              <w:t>共计：</w:t>
            </w:r>
          </w:p>
        </w:tc>
        <w:tc>
          <w:tcPr>
            <w:tcW w:w="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952412">
            <w:pPr>
              <w:jc w:val="center"/>
              <w:rPr>
                <w:rFonts w:hAnsi="宋体"/>
                <w:sz w:val="21"/>
                <w:szCs w:val="21"/>
                <w:highlight w:val="none"/>
              </w:rPr>
            </w:pPr>
            <w:r>
              <w:rPr>
                <w:rFonts w:hint="eastAsia" w:hAnsi="宋体"/>
                <w:sz w:val="21"/>
                <w:szCs w:val="21"/>
                <w:highlight w:val="none"/>
              </w:rPr>
              <w:t>25</w:t>
            </w:r>
          </w:p>
        </w:tc>
        <w:tc>
          <w:tcPr>
            <w:tcW w:w="4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BBBB85">
            <w:pPr>
              <w:jc w:val="center"/>
              <w:rPr>
                <w:rFonts w:hAnsi="宋体"/>
                <w:sz w:val="21"/>
                <w:szCs w:val="21"/>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DB2ACF">
            <w:pPr>
              <w:jc w:val="center"/>
              <w:rPr>
                <w:rFonts w:hAnsi="宋体"/>
                <w:sz w:val="21"/>
                <w:szCs w:val="21"/>
                <w:highlight w:val="none"/>
              </w:rPr>
            </w:pPr>
          </w:p>
        </w:tc>
        <w:tc>
          <w:tcPr>
            <w:tcW w:w="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FB28">
            <w:pPr>
              <w:jc w:val="center"/>
              <w:rPr>
                <w:rFonts w:hAnsi="宋体"/>
                <w:sz w:val="21"/>
                <w:szCs w:val="21"/>
                <w:highlight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B1854E">
            <w:pPr>
              <w:jc w:val="center"/>
              <w:rPr>
                <w:rFonts w:hAnsi="宋体"/>
                <w:sz w:val="21"/>
                <w:szCs w:val="21"/>
                <w:highlight w:val="none"/>
              </w:rPr>
            </w:pPr>
          </w:p>
        </w:tc>
        <w:tc>
          <w:tcPr>
            <w:tcW w:w="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6D2C29">
            <w:pPr>
              <w:jc w:val="center"/>
              <w:rPr>
                <w:rFonts w:hAnsi="宋体"/>
                <w:sz w:val="21"/>
                <w:szCs w:val="21"/>
                <w:highlight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05F7">
            <w:pPr>
              <w:jc w:val="center"/>
              <w:rPr>
                <w:rFonts w:hAnsi="宋体"/>
                <w:sz w:val="21"/>
                <w:szCs w:val="21"/>
                <w:highlight w:val="none"/>
              </w:rPr>
            </w:pPr>
          </w:p>
        </w:tc>
        <w:tc>
          <w:tcPr>
            <w:tcW w:w="3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F7514F">
            <w:pPr>
              <w:jc w:val="center"/>
              <w:rPr>
                <w:rFonts w:hAnsi="宋体"/>
                <w:sz w:val="21"/>
                <w:szCs w:val="21"/>
                <w:highlight w:val="none"/>
              </w:rPr>
            </w:pPr>
          </w:p>
        </w:tc>
        <w:tc>
          <w:tcPr>
            <w:tcW w:w="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8D4114">
            <w:pPr>
              <w:jc w:val="center"/>
              <w:rPr>
                <w:rFonts w:hAnsi="宋体"/>
                <w:sz w:val="21"/>
                <w:szCs w:val="21"/>
                <w:highlight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E46446">
            <w:pPr>
              <w:jc w:val="center"/>
              <w:rPr>
                <w:rFonts w:hAnsi="宋体"/>
                <w:sz w:val="21"/>
                <w:szCs w:val="21"/>
                <w:highlight w:val="none"/>
              </w:rPr>
            </w:pPr>
          </w:p>
        </w:tc>
        <w:tc>
          <w:tcPr>
            <w:tcW w:w="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7DA70F">
            <w:pPr>
              <w:jc w:val="center"/>
              <w:rPr>
                <w:rFonts w:hAnsi="宋体"/>
                <w:sz w:val="21"/>
                <w:szCs w:val="21"/>
                <w:highlight w:val="none"/>
              </w:rPr>
            </w:pPr>
          </w:p>
        </w:tc>
        <w:tc>
          <w:tcPr>
            <w:tcW w:w="1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56E34">
            <w:pPr>
              <w:jc w:val="center"/>
              <w:rPr>
                <w:rFonts w:hAnsi="宋体"/>
                <w:sz w:val="21"/>
                <w:szCs w:val="21"/>
                <w:highlight w:val="none"/>
              </w:rPr>
            </w:pPr>
          </w:p>
        </w:tc>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D9742">
            <w:pPr>
              <w:jc w:val="center"/>
              <w:rPr>
                <w:rFonts w:hAnsi="宋体"/>
                <w:sz w:val="21"/>
                <w:szCs w:val="21"/>
                <w:highlight w:val="none"/>
              </w:rPr>
            </w:pPr>
          </w:p>
        </w:tc>
        <w:tc>
          <w:tcPr>
            <w:tcW w:w="1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BB253">
            <w:pPr>
              <w:jc w:val="center"/>
              <w:rPr>
                <w:rFonts w:hAnsi="宋体"/>
                <w:sz w:val="21"/>
                <w:szCs w:val="21"/>
                <w:highlight w:val="none"/>
              </w:rPr>
            </w:pP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BFE88">
            <w:pPr>
              <w:jc w:val="center"/>
              <w:rPr>
                <w:rFonts w:hAnsi="宋体"/>
                <w:sz w:val="21"/>
                <w:szCs w:val="21"/>
                <w:highlight w:val="none"/>
              </w:rPr>
            </w:pPr>
          </w:p>
        </w:tc>
      </w:tr>
      <w:tr w14:paraId="3FDE8447">
        <w:tblPrEx>
          <w:tblCellMar>
            <w:top w:w="0" w:type="dxa"/>
            <w:left w:w="0" w:type="dxa"/>
            <w:bottom w:w="0" w:type="dxa"/>
            <w:right w:w="0" w:type="dxa"/>
          </w:tblCellMar>
        </w:tblPrEx>
        <w:trPr>
          <w:trHeight w:val="360" w:hRule="atLeast"/>
          <w:jc w:val="center"/>
        </w:trPr>
        <w:tc>
          <w:tcPr>
            <w:tcW w:w="8188" w:type="dxa"/>
            <w:gridSpan w:val="1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14BDA">
            <w:pPr>
              <w:jc w:val="center"/>
              <w:rPr>
                <w:rFonts w:hAnsi="宋体"/>
                <w:sz w:val="21"/>
                <w:szCs w:val="21"/>
                <w:highlight w:val="none"/>
              </w:rPr>
            </w:pPr>
            <w:r>
              <w:rPr>
                <w:rFonts w:hint="eastAsia" w:hAnsi="宋体"/>
                <w:sz w:val="21"/>
                <w:szCs w:val="21"/>
                <w:highlight w:val="none"/>
                <w:lang w:val="en-US" w:eastAsia="zh-CN"/>
              </w:rPr>
              <w:t>24</w:t>
            </w:r>
            <w:r>
              <w:rPr>
                <w:rFonts w:hint="eastAsia" w:hAnsi="宋体"/>
                <w:sz w:val="21"/>
                <w:szCs w:val="21"/>
                <w:highlight w:val="none"/>
              </w:rPr>
              <w:t>个月总计</w:t>
            </w:r>
          </w:p>
        </w:tc>
        <w:tc>
          <w:tcPr>
            <w:tcW w:w="120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4D0EC33B">
            <w:pPr>
              <w:jc w:val="center"/>
              <w:rPr>
                <w:rFonts w:hAnsi="宋体"/>
                <w:sz w:val="21"/>
                <w:szCs w:val="21"/>
                <w:highlight w:val="none"/>
              </w:rPr>
            </w:pP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3816D">
            <w:pPr>
              <w:jc w:val="center"/>
              <w:rPr>
                <w:rFonts w:hAnsi="宋体"/>
                <w:sz w:val="21"/>
                <w:szCs w:val="21"/>
                <w:highlight w:val="none"/>
              </w:rPr>
            </w:pPr>
          </w:p>
        </w:tc>
      </w:tr>
    </w:tbl>
    <w:p w14:paraId="3062D514">
      <w:pPr>
        <w:pStyle w:val="27"/>
        <w:ind w:firstLine="0" w:firstLineChars="0"/>
        <w:rPr>
          <w:rFonts w:ascii="宋体" w:hAnsi="宋体" w:eastAsia="宋体" w:cs="宋体"/>
          <w:b/>
          <w:bCs/>
          <w:kern w:val="0"/>
          <w:sz w:val="21"/>
          <w:szCs w:val="21"/>
          <w:highlight w:val="none"/>
          <w:lang w:eastAsia="zh-CN"/>
        </w:rPr>
      </w:pPr>
    </w:p>
    <w:p w14:paraId="3947947E">
      <w:pPr>
        <w:spacing w:line="360" w:lineRule="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九、付款方式</w:t>
      </w:r>
    </w:p>
    <w:p w14:paraId="3D441210">
      <w:pPr>
        <w:spacing w:line="360" w:lineRule="auto"/>
        <w:rPr>
          <w:rFonts w:hint="eastAsia" w:ascii="宋体" w:hAnsi="宋体" w:eastAsia="宋体" w:cs="宋体"/>
          <w:sz w:val="24"/>
          <w:szCs w:val="28"/>
        </w:rPr>
      </w:pPr>
      <w:r>
        <w:rPr>
          <w:rFonts w:hint="eastAsia" w:ascii="宋体" w:hAnsi="宋体" w:eastAsia="宋体" w:cs="宋体"/>
          <w:sz w:val="24"/>
          <w:szCs w:val="28"/>
        </w:rPr>
        <w:t>1.以支票方式提交履约保证金的，中标供应商应在合同签订后10个工作日内，向采购人支付履约保证金，履约保证金额为中标金额的5％。合同期满后中标供应商没有违约行为，履约保证金在合同期满后15个工作日内无息退还。</w:t>
      </w:r>
    </w:p>
    <w:p w14:paraId="3FFBA3C7">
      <w:pPr>
        <w:spacing w:line="360" w:lineRule="auto"/>
        <w:rPr>
          <w:rFonts w:hint="eastAsia" w:ascii="宋体" w:hAnsi="宋体" w:eastAsia="宋体" w:cs="宋体"/>
          <w:sz w:val="24"/>
          <w:szCs w:val="28"/>
        </w:rPr>
      </w:pPr>
      <w:r>
        <w:rPr>
          <w:rFonts w:hint="eastAsia" w:ascii="宋体" w:hAnsi="宋体" w:eastAsia="宋体" w:cs="宋体"/>
          <w:sz w:val="24"/>
          <w:szCs w:val="28"/>
        </w:rPr>
        <w:t>2.以银行保函方式提交履约保证金的，中标供应商应在合同签订后10个工作日内，按中标金额的5％向采购人提交履约保函。合同期满后中标供应商没有违约行为，履约保函在合同期满后15个工作日内自动失效。</w:t>
      </w:r>
    </w:p>
    <w:p w14:paraId="2D8BCBFB">
      <w:pPr>
        <w:spacing w:line="360" w:lineRule="auto"/>
        <w:rPr>
          <w:rFonts w:hint="eastAsia" w:ascii="宋体" w:hAnsi="宋体" w:eastAsia="宋体" w:cs="宋体"/>
          <w:sz w:val="24"/>
          <w:szCs w:val="28"/>
        </w:rPr>
      </w:pPr>
      <w:r>
        <w:rPr>
          <w:rFonts w:hint="eastAsia" w:ascii="宋体" w:hAnsi="宋体" w:eastAsia="宋体" w:cs="宋体"/>
          <w:sz w:val="24"/>
          <w:szCs w:val="28"/>
        </w:rPr>
        <w:t>3.中标人每月5日（节假日顺延）前向采购人提交上月服务人员名单、经甲乙双方签名确认的考勤表和每月中标人产生的服务费用由采购人审定后，中标人5个工作日内提供发票，采购人10个工作日支付。15日前采购人将满意度反馈给中标人，中标人按所定合同要求，根据满意度情况在下月服务费中扣除。服务时间不足一月的，按日结算服务费。由于中标人未按时间提供采购人要求的清单，所造成迟发工资给员工时，按相应约定扣罚，该费用不得在员工工资部分扣除。</w:t>
      </w:r>
    </w:p>
    <w:p w14:paraId="253A470C">
      <w:r>
        <w:br w:type="page"/>
      </w:r>
    </w:p>
    <w:p w14:paraId="1B53B1D8">
      <w:pPr>
        <w:spacing w:line="360" w:lineRule="auto"/>
        <w:jc w:val="center"/>
        <w:outlineLvl w:val="0"/>
        <w:rPr>
          <w:rFonts w:hint="eastAsia" w:ascii="宋体" w:hAnsi="宋体" w:eastAsia="宋体" w:cs="宋体"/>
          <w:b/>
          <w:bCs/>
          <w:color w:val="auto"/>
          <w:sz w:val="28"/>
          <w:szCs w:val="32"/>
          <w:highlight w:val="none"/>
        </w:rPr>
      </w:pPr>
      <w:bookmarkStart w:id="0" w:name="_GoBack"/>
      <w:bookmarkEnd w:id="0"/>
      <w:r>
        <w:rPr>
          <w:rFonts w:hint="eastAsia" w:ascii="宋体" w:hAnsi="宋体" w:eastAsia="宋体" w:cs="宋体"/>
          <w:b/>
          <w:bCs/>
          <w:color w:val="auto"/>
          <w:sz w:val="28"/>
          <w:szCs w:val="32"/>
          <w:highlight w:val="none"/>
        </w:rPr>
        <w:t>采购包</w:t>
      </w:r>
      <w:r>
        <w:rPr>
          <w:rFonts w:hint="eastAsia" w:ascii="宋体" w:hAnsi="宋体" w:cs="宋体"/>
          <w:b/>
          <w:bCs/>
          <w:color w:val="auto"/>
          <w:sz w:val="28"/>
          <w:szCs w:val="32"/>
          <w:highlight w:val="none"/>
          <w:lang w:val="en-US" w:eastAsia="zh-CN"/>
        </w:rPr>
        <w:t>2</w:t>
      </w:r>
      <w:r>
        <w:rPr>
          <w:rFonts w:hint="eastAsia" w:ascii="宋体" w:hAnsi="宋体" w:eastAsia="宋体" w:cs="宋体"/>
          <w:b/>
          <w:bCs/>
          <w:color w:val="auto"/>
          <w:sz w:val="28"/>
          <w:szCs w:val="32"/>
          <w:highlight w:val="none"/>
        </w:rPr>
        <w:t>（</w:t>
      </w:r>
      <w:r>
        <w:rPr>
          <w:rFonts w:hint="eastAsia" w:ascii="宋体" w:hAnsi="宋体" w:eastAsia="宋体" w:cs="宋体"/>
          <w:b/>
          <w:bCs/>
          <w:color w:val="auto"/>
          <w:sz w:val="28"/>
          <w:szCs w:val="32"/>
          <w:highlight w:val="none"/>
          <w:lang w:val="en-US" w:eastAsia="zh-CN"/>
        </w:rPr>
        <w:t>食材配送</w:t>
      </w:r>
      <w:r>
        <w:rPr>
          <w:rFonts w:hint="eastAsia" w:ascii="宋体" w:hAnsi="宋体" w:eastAsia="宋体" w:cs="宋体"/>
          <w:b/>
          <w:bCs/>
          <w:color w:val="auto"/>
          <w:sz w:val="28"/>
          <w:szCs w:val="32"/>
          <w:highlight w:val="none"/>
        </w:rPr>
        <w:t>）</w:t>
      </w:r>
    </w:p>
    <w:p w14:paraId="6A0E903B">
      <w:pPr>
        <w:pStyle w:val="13"/>
        <w:spacing w:line="360" w:lineRule="auto"/>
        <w:jc w:val="both"/>
        <w:outlineLvl w:val="1"/>
        <w:rPr>
          <w:rFonts w:hint="eastAsia" w:ascii="宋体" w:hAnsi="宋体" w:eastAsia="宋体" w:cs="宋体"/>
          <w:sz w:val="24"/>
          <w:szCs w:val="24"/>
        </w:rPr>
      </w:pPr>
      <w:r>
        <w:rPr>
          <w:rFonts w:hint="eastAsia" w:ascii="宋体" w:hAnsi="宋体" w:eastAsia="宋体" w:cs="宋体"/>
          <w:b/>
          <w:color w:val="000000"/>
          <w:sz w:val="24"/>
          <w:szCs w:val="24"/>
        </w:rPr>
        <w:t>一、项目内容及需求情况：</w:t>
      </w:r>
    </w:p>
    <w:p w14:paraId="7E05850C">
      <w:pPr>
        <w:pStyle w:val="13"/>
        <w:spacing w:line="360" w:lineRule="auto"/>
        <w:ind w:firstLine="420"/>
        <w:jc w:val="both"/>
        <w:rPr>
          <w:rFonts w:hint="eastAsia" w:ascii="宋体" w:hAnsi="宋体" w:eastAsia="宋体" w:cs="宋体"/>
          <w:sz w:val="24"/>
          <w:szCs w:val="24"/>
        </w:rPr>
      </w:pPr>
      <w:r>
        <w:rPr>
          <w:rFonts w:hint="eastAsia" w:ascii="宋体" w:hAnsi="宋体" w:eastAsia="宋体" w:cs="宋体"/>
          <w:sz w:val="24"/>
          <w:szCs w:val="24"/>
        </w:rPr>
        <w:t>1.本项目采购人为广州市第十二人民医院，采购的具体数量和品种需要根据每月的实际发生数量来定。本次通过公开招标方式确定广州市第十二人民医院天河院区饭堂食材配送服务供应商。</w:t>
      </w:r>
    </w:p>
    <w:p w14:paraId="6967A06A">
      <w:pPr>
        <w:pStyle w:val="13"/>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2.送货方式：每次根据采购人的邮件或其它方式通知订购品种、数量后，按时（次日07：00前）运送物品到指定地点，中标人随货提供注明产品名称、单位、数量、售价及总金额的商品送货清单，作为采购人入库验收之凭证。送货清单一式两份，经双方签名后，采购人与中标人各执一份。</w:t>
      </w:r>
    </w:p>
    <w:p w14:paraId="20BCF206">
      <w:pPr>
        <w:pStyle w:val="13"/>
        <w:spacing w:line="360" w:lineRule="auto"/>
        <w:ind w:firstLine="420"/>
        <w:jc w:val="both"/>
        <w:rPr>
          <w:rFonts w:hint="eastAsia" w:ascii="宋体" w:hAnsi="宋体" w:eastAsia="宋体" w:cs="宋体"/>
          <w:sz w:val="24"/>
          <w:szCs w:val="24"/>
          <w:lang w:eastAsia="zh-CN"/>
        </w:rPr>
      </w:pPr>
      <w:r>
        <w:rPr>
          <w:rFonts w:hint="eastAsia" w:ascii="宋体" w:hAnsi="宋体" w:eastAsia="宋体" w:cs="宋体"/>
          <w:color w:val="000000"/>
          <w:sz w:val="24"/>
          <w:szCs w:val="24"/>
        </w:rPr>
        <w:t>3.送货地址：广州市天河区黄埔大道西天强路1号广州市第十二人民医院天河院区饭堂</w:t>
      </w:r>
      <w:r>
        <w:rPr>
          <w:rFonts w:hint="eastAsia" w:ascii="宋体" w:hAnsi="宋体" w:eastAsia="宋体" w:cs="宋体"/>
          <w:color w:val="000000"/>
          <w:sz w:val="24"/>
          <w:szCs w:val="24"/>
          <w:lang w:eastAsia="zh-CN"/>
        </w:rPr>
        <w:t>。</w:t>
      </w:r>
    </w:p>
    <w:p w14:paraId="142078D1">
      <w:pPr>
        <w:pStyle w:val="13"/>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4.合同履行期限：</w:t>
      </w:r>
      <w:r>
        <w:rPr>
          <w:rFonts w:hint="eastAsia" w:ascii="宋体" w:hAnsi="宋体" w:eastAsia="宋体" w:cs="宋体"/>
          <w:sz w:val="24"/>
          <w:szCs w:val="24"/>
          <w:highlight w:val="none"/>
        </w:rPr>
        <w:t>自合同签订起</w:t>
      </w:r>
      <w:r>
        <w:rPr>
          <w:rFonts w:hint="eastAsia" w:ascii="宋体" w:hAnsi="宋体" w:eastAsia="宋体" w:cs="宋体"/>
          <w:sz w:val="24"/>
          <w:szCs w:val="24"/>
          <w:highlight w:val="none"/>
          <w:lang w:val="en-US" w:eastAsia="zh-CN"/>
        </w:rPr>
        <w:t>二年</w:t>
      </w:r>
      <w:r>
        <w:rPr>
          <w:rFonts w:hint="eastAsia" w:ascii="宋体" w:hAnsi="宋体" w:eastAsia="宋体" w:cs="宋体"/>
          <w:color w:val="000000"/>
          <w:sz w:val="24"/>
          <w:szCs w:val="24"/>
        </w:rPr>
        <w:t>。</w:t>
      </w:r>
    </w:p>
    <w:p w14:paraId="40757A25">
      <w:pPr>
        <w:pStyle w:val="13"/>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5.采购内容：包含蔬菜类、肉类（含生鲜、鱼类、熟食等）、粮油类、干货、副食品类（含调味料、杂货类、豆制品、早点类、蛋类）、奶制品、咸杂类、水果类等以及餐具、用具、小卖部食杂商品等（其中餐具、用具、小卖部食杂商品折后价格不得超医院周边大型商超正常价格），以每日实际下达订单为准。</w:t>
      </w:r>
    </w:p>
    <w:p w14:paraId="27A38C19">
      <w:pPr>
        <w:pStyle w:val="13"/>
        <w:spacing w:line="360" w:lineRule="auto"/>
        <w:jc w:val="both"/>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二、货物产品质量要求</w:t>
      </w:r>
    </w:p>
    <w:p w14:paraId="042C3958">
      <w:pPr>
        <w:pStyle w:val="13"/>
        <w:spacing w:line="360" w:lineRule="auto"/>
        <w:rPr>
          <w:rFonts w:hint="eastAsia" w:ascii="宋体" w:hAnsi="宋体" w:eastAsia="宋体" w:cs="宋体"/>
          <w:sz w:val="24"/>
          <w:szCs w:val="24"/>
        </w:rPr>
      </w:pPr>
      <w:r>
        <w:rPr>
          <w:rFonts w:hint="eastAsia" w:ascii="宋体" w:hAnsi="宋体" w:eastAsia="宋体" w:cs="宋体"/>
          <w:color w:val="000000"/>
          <w:sz w:val="24"/>
          <w:szCs w:val="24"/>
        </w:rPr>
        <w:t>（一）蔬菜类</w:t>
      </w:r>
    </w:p>
    <w:p w14:paraId="6E911F8C">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1.质量要求</w:t>
      </w:r>
    </w:p>
    <w:p w14:paraId="5A97785F">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（1）所有蔬菜必须符合国家有关标准，保证新鲜、无异味、无霉烂变质。所有蔬菜绝无农药等有害物质的留存，在配送前必须采样送检，经农药残留检测合格并出具检测合格报告单后，方可采收配送。</w:t>
      </w:r>
    </w:p>
    <w:p w14:paraId="0B91A190">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（2）所有蔬菜在交付采购人前必须经过前期处理，使用率达到95%以上。</w:t>
      </w:r>
    </w:p>
    <w:p w14:paraId="30D87138">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（3）所有蔬菜必须保证食用安全，符合国家食品卫生标准。具体质量要求为：</w:t>
      </w:r>
    </w:p>
    <w:p w14:paraId="0BEA9BCC">
      <w:pPr>
        <w:pStyle w:val="13"/>
        <w:spacing w:line="360" w:lineRule="auto"/>
        <w:ind w:firstLine="525"/>
        <w:rPr>
          <w:rFonts w:hint="eastAsia" w:ascii="宋体" w:hAnsi="宋体" w:eastAsia="宋体" w:cs="宋体"/>
          <w:sz w:val="24"/>
          <w:szCs w:val="24"/>
        </w:rPr>
      </w:pPr>
      <w:r>
        <w:rPr>
          <w:rFonts w:hint="eastAsia" w:ascii="宋体" w:hAnsi="宋体" w:eastAsia="宋体" w:cs="宋体"/>
          <w:color w:val="000000"/>
          <w:sz w:val="24"/>
          <w:szCs w:val="24"/>
        </w:rPr>
        <w:t>从蔬菜色泽看，各种蔬菜都应具有本品种固有的颜色，大多数有发亮的光泽，以此显示蔬菜的成熟度及鲜嫩程度；</w:t>
      </w:r>
    </w:p>
    <w:p w14:paraId="29D8D422">
      <w:pPr>
        <w:pStyle w:val="13"/>
        <w:spacing w:line="360" w:lineRule="auto"/>
        <w:ind w:firstLine="525"/>
        <w:rPr>
          <w:rFonts w:hint="eastAsia" w:ascii="宋体" w:hAnsi="宋体" w:eastAsia="宋体" w:cs="宋体"/>
          <w:sz w:val="24"/>
          <w:szCs w:val="24"/>
        </w:rPr>
      </w:pPr>
      <w:r>
        <w:rPr>
          <w:rFonts w:hint="eastAsia" w:ascii="宋体" w:hAnsi="宋体" w:eastAsia="宋体" w:cs="宋体"/>
          <w:color w:val="000000"/>
          <w:sz w:val="24"/>
          <w:szCs w:val="24"/>
        </w:rPr>
        <w:t>从蔬菜气味看，多数蔬菜具有清馨、甘辛香、甜酸香等气味，可凭嗅觉识别不同品种的质量，不允许有腐烂变质的亚硝酸盐味和其他异常气味；</w:t>
      </w:r>
    </w:p>
    <w:p w14:paraId="25A8FEB4">
      <w:pPr>
        <w:pStyle w:val="13"/>
        <w:spacing w:line="360" w:lineRule="auto"/>
        <w:ind w:firstLine="525"/>
        <w:rPr>
          <w:rFonts w:hint="eastAsia" w:ascii="宋体" w:hAnsi="宋体" w:eastAsia="宋体" w:cs="宋体"/>
          <w:sz w:val="24"/>
          <w:szCs w:val="24"/>
        </w:rPr>
      </w:pPr>
      <w:r>
        <w:rPr>
          <w:rFonts w:hint="eastAsia" w:ascii="宋体" w:hAnsi="宋体" w:eastAsia="宋体" w:cs="宋体"/>
          <w:color w:val="000000"/>
          <w:sz w:val="24"/>
          <w:szCs w:val="24"/>
        </w:rPr>
        <w:t>从蔬菜滋味看，因品种不同而各异，多数蔬菜滋味甘淡、甜酸、清爽鲜美，少数具有辛酸、苦涩等特殊风味以刺激食欲，如失去本品种原有的滋味即为异常；</w:t>
      </w:r>
    </w:p>
    <w:p w14:paraId="0A0F0579">
      <w:pPr>
        <w:pStyle w:val="13"/>
        <w:spacing w:line="360" w:lineRule="auto"/>
        <w:ind w:firstLine="525"/>
        <w:rPr>
          <w:rFonts w:hint="eastAsia" w:ascii="宋体" w:hAnsi="宋体" w:eastAsia="宋体" w:cs="宋体"/>
          <w:sz w:val="24"/>
          <w:szCs w:val="24"/>
        </w:rPr>
      </w:pPr>
      <w:r>
        <w:rPr>
          <w:rFonts w:hint="eastAsia" w:ascii="宋体" w:hAnsi="宋体" w:eastAsia="宋体" w:cs="宋体"/>
          <w:color w:val="000000"/>
          <w:sz w:val="24"/>
          <w:szCs w:val="24"/>
        </w:rPr>
        <w:t>从蔬菜形态看，应尽量避免由于客观因素而造成的各种非正常、不新鲜的蔬菜，例如萎蔫、枯塌、损伤、病变、虫害侵蚀等引起的形态异常等。</w:t>
      </w:r>
    </w:p>
    <w:tbl>
      <w:tblPr>
        <w:tblStyle w:val="9"/>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18"/>
        <w:gridCol w:w="7288"/>
      </w:tblGrid>
      <w:tr w14:paraId="1F155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84E7A9">
            <w:pPr>
              <w:pStyle w:val="13"/>
              <w:jc w:val="center"/>
              <w:rPr>
                <w:sz w:val="24"/>
                <w:szCs w:val="24"/>
              </w:rPr>
            </w:pPr>
            <w:r>
              <w:rPr>
                <w:color w:val="000000"/>
                <w:sz w:val="24"/>
                <w:szCs w:val="24"/>
              </w:rPr>
              <w:t>种类</w:t>
            </w:r>
          </w:p>
        </w:tc>
        <w:tc>
          <w:tcPr>
            <w:tcW w:w="72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E96DC9">
            <w:pPr>
              <w:pStyle w:val="13"/>
              <w:ind w:firstLine="525"/>
              <w:jc w:val="center"/>
              <w:rPr>
                <w:sz w:val="24"/>
                <w:szCs w:val="24"/>
              </w:rPr>
            </w:pPr>
            <w:r>
              <w:rPr>
                <w:color w:val="000000"/>
                <w:sz w:val="24"/>
                <w:szCs w:val="24"/>
              </w:rPr>
              <w:t>质量标准</w:t>
            </w:r>
          </w:p>
        </w:tc>
      </w:tr>
      <w:tr w14:paraId="324BE8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6834D">
            <w:pPr>
              <w:pStyle w:val="13"/>
              <w:jc w:val="center"/>
              <w:rPr>
                <w:sz w:val="24"/>
                <w:szCs w:val="24"/>
              </w:rPr>
            </w:pPr>
            <w:r>
              <w:rPr>
                <w:color w:val="000000"/>
                <w:sz w:val="24"/>
                <w:szCs w:val="24"/>
              </w:rPr>
              <w:t>叶菜类</w:t>
            </w:r>
          </w:p>
        </w:tc>
        <w:tc>
          <w:tcPr>
            <w:tcW w:w="7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EDB48">
            <w:pPr>
              <w:pStyle w:val="13"/>
              <w:rPr>
                <w:sz w:val="24"/>
                <w:szCs w:val="24"/>
              </w:rPr>
            </w:pPr>
            <w:r>
              <w:rPr>
                <w:color w:val="000000"/>
                <w:sz w:val="24"/>
                <w:szCs w:val="24"/>
              </w:rPr>
              <w:t>菜心、生菜、大白菜、小白菜、空心菜、芹菜等绿叶菜类。属同一品种规格，鲜嫩形态好，色泽正常，茎基部削平，无枯黄叶、病叶、泥土、明显机械伤和病虫害伤，无腐烂现象，花椰菜应新鲜洁白，不带叶麸，无畸形花。</w:t>
            </w:r>
          </w:p>
        </w:tc>
      </w:tr>
      <w:tr w14:paraId="2058E7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C4DD29">
            <w:pPr>
              <w:pStyle w:val="13"/>
              <w:jc w:val="center"/>
              <w:rPr>
                <w:sz w:val="24"/>
                <w:szCs w:val="24"/>
              </w:rPr>
            </w:pPr>
            <w:r>
              <w:rPr>
                <w:color w:val="000000"/>
                <w:sz w:val="24"/>
                <w:szCs w:val="24"/>
              </w:rPr>
              <w:t>茄果类</w:t>
            </w:r>
          </w:p>
        </w:tc>
        <w:tc>
          <w:tcPr>
            <w:tcW w:w="7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A2FAF">
            <w:pPr>
              <w:pStyle w:val="13"/>
              <w:rPr>
                <w:sz w:val="24"/>
                <w:szCs w:val="24"/>
              </w:rPr>
            </w:pPr>
            <w:r>
              <w:rPr>
                <w:color w:val="000000"/>
                <w:sz w:val="24"/>
                <w:szCs w:val="24"/>
              </w:rPr>
              <w:t>番茄、茄子等。属同一品种规格，果实整洁，成熟度适中，无裂果及空洞现象，茄果不能有裂蒂及果皮变硬现象，无腐烂、无畸形、异味、无明显机械伤。</w:t>
            </w:r>
          </w:p>
        </w:tc>
      </w:tr>
      <w:tr w14:paraId="23F376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7E4E1A">
            <w:pPr>
              <w:pStyle w:val="13"/>
              <w:jc w:val="center"/>
              <w:rPr>
                <w:sz w:val="24"/>
                <w:szCs w:val="24"/>
              </w:rPr>
            </w:pPr>
            <w:r>
              <w:rPr>
                <w:color w:val="000000"/>
                <w:sz w:val="24"/>
                <w:szCs w:val="24"/>
              </w:rPr>
              <w:t>瓜果类</w:t>
            </w:r>
          </w:p>
        </w:tc>
        <w:tc>
          <w:tcPr>
            <w:tcW w:w="7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6F7AF8">
            <w:pPr>
              <w:pStyle w:val="13"/>
              <w:rPr>
                <w:sz w:val="24"/>
                <w:szCs w:val="24"/>
              </w:rPr>
            </w:pPr>
            <w:r>
              <w:rPr>
                <w:color w:val="000000"/>
                <w:sz w:val="24"/>
                <w:szCs w:val="24"/>
              </w:rPr>
              <w:t>黄瓜、冬瓜、丝瓜、苦瓜、南瓜等。属同一品种规格，形状、色泽一致，瓜条均匀，无疤点，无断裂、无腐烂、畸形，异味、无明显机械伤，不带泥土。</w:t>
            </w:r>
          </w:p>
        </w:tc>
      </w:tr>
      <w:tr w14:paraId="4322D6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F867D5">
            <w:pPr>
              <w:pStyle w:val="13"/>
              <w:jc w:val="center"/>
              <w:rPr>
                <w:sz w:val="24"/>
                <w:szCs w:val="24"/>
              </w:rPr>
            </w:pPr>
            <w:r>
              <w:rPr>
                <w:color w:val="000000"/>
                <w:sz w:val="24"/>
                <w:szCs w:val="24"/>
              </w:rPr>
              <w:t>根菜类</w:t>
            </w:r>
          </w:p>
        </w:tc>
        <w:tc>
          <w:tcPr>
            <w:tcW w:w="7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E9FD00">
            <w:pPr>
              <w:pStyle w:val="13"/>
              <w:rPr>
                <w:sz w:val="24"/>
                <w:szCs w:val="24"/>
              </w:rPr>
            </w:pPr>
            <w:r>
              <w:rPr>
                <w:color w:val="000000"/>
                <w:sz w:val="24"/>
                <w:szCs w:val="24"/>
              </w:rPr>
              <w:t>萝卜、大头菜、沙葛等。属同一品种规格，皮细光滑，大小均匀，肉质脆嫩致密新鲜，无腐烂、畸形、裂痕、异味，不带泥沙，不带茎叶和须根。</w:t>
            </w:r>
          </w:p>
        </w:tc>
      </w:tr>
      <w:tr w14:paraId="0784E2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4FA7D">
            <w:pPr>
              <w:pStyle w:val="13"/>
              <w:jc w:val="center"/>
              <w:rPr>
                <w:sz w:val="24"/>
                <w:szCs w:val="24"/>
              </w:rPr>
            </w:pPr>
            <w:r>
              <w:rPr>
                <w:color w:val="000000"/>
                <w:sz w:val="24"/>
                <w:szCs w:val="24"/>
              </w:rPr>
              <w:t>薯芋类</w:t>
            </w:r>
          </w:p>
        </w:tc>
        <w:tc>
          <w:tcPr>
            <w:tcW w:w="7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39C5C">
            <w:pPr>
              <w:pStyle w:val="13"/>
              <w:rPr>
                <w:sz w:val="24"/>
                <w:szCs w:val="24"/>
              </w:rPr>
            </w:pPr>
            <w:r>
              <w:rPr>
                <w:color w:val="000000"/>
                <w:sz w:val="24"/>
                <w:szCs w:val="24"/>
              </w:rPr>
              <w:t>马铃薯。属同一品种规格，色泽一致，不带泥沙，不带须根、茎叶，无腐烂、畸形、异味、明显机械伤、病虫害斑，马铃薯无发芽。</w:t>
            </w:r>
          </w:p>
        </w:tc>
      </w:tr>
      <w:tr w14:paraId="7C8CF1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C2022">
            <w:pPr>
              <w:pStyle w:val="13"/>
              <w:jc w:val="center"/>
              <w:rPr>
                <w:sz w:val="24"/>
                <w:szCs w:val="24"/>
              </w:rPr>
            </w:pPr>
            <w:r>
              <w:rPr>
                <w:color w:val="000000"/>
                <w:sz w:val="24"/>
                <w:szCs w:val="24"/>
              </w:rPr>
              <w:t>葱蒜类</w:t>
            </w:r>
          </w:p>
        </w:tc>
        <w:tc>
          <w:tcPr>
            <w:tcW w:w="7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215C6">
            <w:pPr>
              <w:pStyle w:val="13"/>
              <w:rPr>
                <w:sz w:val="24"/>
                <w:szCs w:val="24"/>
              </w:rPr>
            </w:pPr>
            <w:r>
              <w:rPr>
                <w:color w:val="000000"/>
                <w:sz w:val="24"/>
                <w:szCs w:val="24"/>
              </w:rPr>
              <w:t>葱、蒜、韭菜、洋葱等。属同一品种规格，允许葱、青蒜类保留干净须根，葱、蒜、韭菜不带老叶，蒜头、洋葱去根去枯叶，可食部分新鲜幼嫩，无腐烂、畸形、异味。</w:t>
            </w:r>
          </w:p>
        </w:tc>
      </w:tr>
      <w:tr w14:paraId="796BD7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0B77F">
            <w:pPr>
              <w:pStyle w:val="13"/>
              <w:jc w:val="center"/>
              <w:rPr>
                <w:sz w:val="24"/>
                <w:szCs w:val="24"/>
              </w:rPr>
            </w:pPr>
            <w:r>
              <w:rPr>
                <w:color w:val="000000"/>
                <w:sz w:val="24"/>
                <w:szCs w:val="24"/>
              </w:rPr>
              <w:t>豆类</w:t>
            </w:r>
          </w:p>
        </w:tc>
        <w:tc>
          <w:tcPr>
            <w:tcW w:w="7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79E22">
            <w:pPr>
              <w:pStyle w:val="13"/>
              <w:rPr>
                <w:sz w:val="24"/>
                <w:szCs w:val="24"/>
              </w:rPr>
            </w:pPr>
            <w:r>
              <w:rPr>
                <w:color w:val="000000"/>
                <w:sz w:val="24"/>
                <w:szCs w:val="24"/>
              </w:rPr>
              <w:t>扁豆、豌豆、豆角等。形态完整，成熟度适中，无腐烂、畸形、异味，豆荚类新鲜、幼嫩、均匀，豆仁类籽粒饱满，较均匀，无发芽，不带泥土杂质。</w:t>
            </w:r>
          </w:p>
        </w:tc>
      </w:tr>
      <w:tr w14:paraId="4AAC29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C5B78">
            <w:pPr>
              <w:pStyle w:val="13"/>
              <w:jc w:val="center"/>
              <w:rPr>
                <w:sz w:val="24"/>
                <w:szCs w:val="24"/>
              </w:rPr>
            </w:pPr>
            <w:r>
              <w:rPr>
                <w:color w:val="000000"/>
                <w:sz w:val="24"/>
                <w:szCs w:val="24"/>
              </w:rPr>
              <w:t>水生菜类</w:t>
            </w:r>
          </w:p>
        </w:tc>
        <w:tc>
          <w:tcPr>
            <w:tcW w:w="7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968B7">
            <w:pPr>
              <w:pStyle w:val="13"/>
              <w:rPr>
                <w:sz w:val="24"/>
                <w:szCs w:val="24"/>
              </w:rPr>
            </w:pPr>
            <w:r>
              <w:rPr>
                <w:color w:val="000000"/>
                <w:sz w:val="24"/>
                <w:szCs w:val="24"/>
              </w:rPr>
              <w:t>藕、马蹄、菱等。属同一品种规格，肉质嫩，成熟度适中，无腐烂、畸形、异味，无明显机械伤，不带泥土和杂质。</w:t>
            </w:r>
          </w:p>
        </w:tc>
      </w:tr>
      <w:tr w14:paraId="534E3B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D3F45">
            <w:pPr>
              <w:pStyle w:val="13"/>
              <w:jc w:val="center"/>
              <w:rPr>
                <w:sz w:val="24"/>
                <w:szCs w:val="24"/>
              </w:rPr>
            </w:pPr>
            <w:r>
              <w:rPr>
                <w:color w:val="000000"/>
                <w:sz w:val="24"/>
                <w:szCs w:val="24"/>
              </w:rPr>
              <w:t>食用菌类</w:t>
            </w:r>
          </w:p>
        </w:tc>
        <w:tc>
          <w:tcPr>
            <w:tcW w:w="7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24709">
            <w:pPr>
              <w:pStyle w:val="13"/>
              <w:rPr>
                <w:sz w:val="24"/>
                <w:szCs w:val="24"/>
              </w:rPr>
            </w:pPr>
            <w:r>
              <w:rPr>
                <w:color w:val="000000"/>
                <w:sz w:val="24"/>
                <w:szCs w:val="24"/>
              </w:rPr>
              <w:t>蘑菇、草菇、香菇、木耳等。属同一品种规格，蘑菇、草菇菌盖圆整略展开，柄粗壮，菌膜紧，菇柄切削平整，不浸泡水（蘑菇允许浸盐水保鲜），新鲜，无杂质，无畸形菇，无腐烂、异味。</w:t>
            </w:r>
          </w:p>
        </w:tc>
      </w:tr>
      <w:tr w14:paraId="642CAD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CE8D0">
            <w:pPr>
              <w:pStyle w:val="13"/>
              <w:jc w:val="center"/>
              <w:rPr>
                <w:sz w:val="24"/>
                <w:szCs w:val="24"/>
              </w:rPr>
            </w:pPr>
            <w:r>
              <w:rPr>
                <w:color w:val="000000"/>
                <w:sz w:val="24"/>
                <w:szCs w:val="24"/>
              </w:rPr>
              <w:t>芽苗类</w:t>
            </w:r>
          </w:p>
        </w:tc>
        <w:tc>
          <w:tcPr>
            <w:tcW w:w="7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030739">
            <w:pPr>
              <w:pStyle w:val="13"/>
              <w:rPr>
                <w:sz w:val="24"/>
                <w:szCs w:val="24"/>
              </w:rPr>
            </w:pPr>
            <w:r>
              <w:rPr>
                <w:color w:val="000000"/>
                <w:sz w:val="24"/>
                <w:szCs w:val="24"/>
              </w:rPr>
              <w:t>绿豆芽、黄豆芽等。芽苗幼嫩，不带豆壳杂质，新鲜，不浸水，无腐烂、异味。</w:t>
            </w:r>
          </w:p>
        </w:tc>
      </w:tr>
    </w:tbl>
    <w:p w14:paraId="11BDCFDF">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2.供应和管理要求</w:t>
      </w:r>
    </w:p>
    <w:p w14:paraId="7EB6EFEF">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（1）蔬菜供应的品种安排（分主菜和配菜），主菜品种根据季节安排，但要确保每天有3个品种以上。</w:t>
      </w:r>
    </w:p>
    <w:p w14:paraId="08E00948">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（2）来源必须清晰，蔬菜来源须为自有基地、商品菜基地或蔬菜专业流通市场。</w:t>
      </w:r>
    </w:p>
    <w:p w14:paraId="3BF513CA">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（3）蔬菜卫生质量要求</w:t>
      </w:r>
    </w:p>
    <w:p w14:paraId="2E48B01D">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卫生质量指标，应符合我国无公害蔬菜上的卫生指标规定。</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5"/>
        <w:gridCol w:w="4581"/>
      </w:tblGrid>
      <w:tr w14:paraId="4E81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62C7E498">
            <w:pPr>
              <w:pStyle w:val="13"/>
              <w:rPr>
                <w:rFonts w:hint="eastAsia" w:ascii="宋体" w:hAnsi="宋体" w:eastAsia="宋体" w:cs="宋体"/>
                <w:sz w:val="24"/>
                <w:szCs w:val="24"/>
              </w:rPr>
            </w:pPr>
            <w:r>
              <w:rPr>
                <w:rFonts w:hint="eastAsia" w:ascii="宋体" w:hAnsi="宋体" w:eastAsia="宋体" w:cs="宋体"/>
                <w:color w:val="000000"/>
                <w:sz w:val="24"/>
                <w:szCs w:val="24"/>
              </w:rPr>
              <w:t>项目</w:t>
            </w:r>
          </w:p>
        </w:tc>
        <w:tc>
          <w:tcPr>
            <w:tcW w:w="4581" w:type="dxa"/>
            <w:tcMar>
              <w:top w:w="0" w:type="dxa"/>
              <w:left w:w="105" w:type="dxa"/>
              <w:bottom w:w="0" w:type="dxa"/>
              <w:right w:w="105" w:type="dxa"/>
            </w:tcMar>
            <w:vAlign w:val="top"/>
          </w:tcPr>
          <w:p w14:paraId="616BD300">
            <w:pPr>
              <w:pStyle w:val="13"/>
              <w:rPr>
                <w:rFonts w:hint="eastAsia" w:ascii="宋体" w:hAnsi="宋体" w:eastAsia="宋体" w:cs="宋体"/>
                <w:sz w:val="24"/>
                <w:szCs w:val="24"/>
              </w:rPr>
            </w:pPr>
            <w:r>
              <w:rPr>
                <w:rFonts w:hint="eastAsia" w:ascii="宋体" w:hAnsi="宋体" w:eastAsia="宋体" w:cs="宋体"/>
                <w:color w:val="000000"/>
                <w:sz w:val="24"/>
                <w:szCs w:val="24"/>
              </w:rPr>
              <w:t>指标（mg/kg）</w:t>
            </w:r>
          </w:p>
        </w:tc>
      </w:tr>
      <w:tr w14:paraId="7861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06A72A4B">
            <w:pPr>
              <w:pStyle w:val="13"/>
              <w:rPr>
                <w:rFonts w:hint="eastAsia" w:ascii="宋体" w:hAnsi="宋体" w:eastAsia="宋体" w:cs="宋体"/>
                <w:sz w:val="24"/>
                <w:szCs w:val="24"/>
              </w:rPr>
            </w:pPr>
            <w:r>
              <w:rPr>
                <w:rFonts w:hint="eastAsia" w:ascii="宋体" w:hAnsi="宋体" w:eastAsia="宋体" w:cs="宋体"/>
                <w:color w:val="000000"/>
                <w:sz w:val="24"/>
                <w:szCs w:val="24"/>
              </w:rPr>
              <w:t>甲胺磷</w:t>
            </w:r>
          </w:p>
        </w:tc>
        <w:tc>
          <w:tcPr>
            <w:tcW w:w="4581" w:type="dxa"/>
            <w:tcMar>
              <w:top w:w="0" w:type="dxa"/>
              <w:left w:w="105" w:type="dxa"/>
              <w:bottom w:w="0" w:type="dxa"/>
              <w:right w:w="105" w:type="dxa"/>
            </w:tcMar>
            <w:vAlign w:val="top"/>
          </w:tcPr>
          <w:p w14:paraId="690AF4ED">
            <w:pPr>
              <w:pStyle w:val="13"/>
              <w:rPr>
                <w:rFonts w:hint="eastAsia" w:ascii="宋体" w:hAnsi="宋体" w:eastAsia="宋体" w:cs="宋体"/>
                <w:sz w:val="24"/>
                <w:szCs w:val="24"/>
              </w:rPr>
            </w:pPr>
            <w:r>
              <w:rPr>
                <w:rFonts w:hint="eastAsia" w:ascii="宋体" w:hAnsi="宋体" w:eastAsia="宋体" w:cs="宋体"/>
                <w:color w:val="000000"/>
                <w:sz w:val="24"/>
                <w:szCs w:val="24"/>
              </w:rPr>
              <w:t>不得检出</w:t>
            </w:r>
          </w:p>
        </w:tc>
      </w:tr>
      <w:tr w14:paraId="6F9D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2BC70BB9">
            <w:pPr>
              <w:pStyle w:val="13"/>
              <w:rPr>
                <w:rFonts w:hint="eastAsia" w:ascii="宋体" w:hAnsi="宋体" w:eastAsia="宋体" w:cs="宋体"/>
                <w:sz w:val="24"/>
                <w:szCs w:val="24"/>
              </w:rPr>
            </w:pPr>
            <w:r>
              <w:rPr>
                <w:rFonts w:hint="eastAsia" w:ascii="宋体" w:hAnsi="宋体" w:eastAsia="宋体" w:cs="宋体"/>
                <w:color w:val="000000"/>
                <w:sz w:val="24"/>
                <w:szCs w:val="24"/>
              </w:rPr>
              <w:t>甲拌磷</w:t>
            </w:r>
          </w:p>
        </w:tc>
        <w:tc>
          <w:tcPr>
            <w:tcW w:w="4581" w:type="dxa"/>
            <w:tcMar>
              <w:top w:w="0" w:type="dxa"/>
              <w:left w:w="105" w:type="dxa"/>
              <w:bottom w:w="0" w:type="dxa"/>
              <w:right w:w="105" w:type="dxa"/>
            </w:tcMar>
            <w:vAlign w:val="top"/>
          </w:tcPr>
          <w:p w14:paraId="54622ED1">
            <w:pPr>
              <w:pStyle w:val="13"/>
              <w:rPr>
                <w:rFonts w:hint="eastAsia" w:ascii="宋体" w:hAnsi="宋体" w:eastAsia="宋体" w:cs="宋体"/>
                <w:sz w:val="24"/>
                <w:szCs w:val="24"/>
              </w:rPr>
            </w:pPr>
            <w:r>
              <w:rPr>
                <w:rFonts w:hint="eastAsia" w:ascii="宋体" w:hAnsi="宋体" w:eastAsia="宋体" w:cs="宋体"/>
                <w:color w:val="000000"/>
                <w:sz w:val="24"/>
                <w:szCs w:val="24"/>
              </w:rPr>
              <w:t>不得检出</w:t>
            </w:r>
          </w:p>
        </w:tc>
      </w:tr>
      <w:tr w14:paraId="2BF6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67FD3D60">
            <w:pPr>
              <w:pStyle w:val="13"/>
              <w:rPr>
                <w:rFonts w:hint="eastAsia" w:ascii="宋体" w:hAnsi="宋体" w:eastAsia="宋体" w:cs="宋体"/>
                <w:sz w:val="24"/>
                <w:szCs w:val="24"/>
              </w:rPr>
            </w:pPr>
            <w:r>
              <w:rPr>
                <w:rFonts w:hint="eastAsia" w:ascii="宋体" w:hAnsi="宋体" w:eastAsia="宋体" w:cs="宋体"/>
                <w:color w:val="000000"/>
                <w:sz w:val="24"/>
                <w:szCs w:val="24"/>
              </w:rPr>
              <w:t>氧化乐果</w:t>
            </w:r>
          </w:p>
        </w:tc>
        <w:tc>
          <w:tcPr>
            <w:tcW w:w="4581" w:type="dxa"/>
            <w:tcMar>
              <w:top w:w="0" w:type="dxa"/>
              <w:left w:w="105" w:type="dxa"/>
              <w:bottom w:w="0" w:type="dxa"/>
              <w:right w:w="105" w:type="dxa"/>
            </w:tcMar>
            <w:vAlign w:val="top"/>
          </w:tcPr>
          <w:p w14:paraId="6C482F17">
            <w:pPr>
              <w:pStyle w:val="13"/>
              <w:rPr>
                <w:rFonts w:hint="eastAsia" w:ascii="宋体" w:hAnsi="宋体" w:eastAsia="宋体" w:cs="宋体"/>
                <w:sz w:val="24"/>
                <w:szCs w:val="24"/>
              </w:rPr>
            </w:pPr>
            <w:r>
              <w:rPr>
                <w:rFonts w:hint="eastAsia" w:ascii="宋体" w:hAnsi="宋体" w:eastAsia="宋体" w:cs="宋体"/>
                <w:color w:val="000000"/>
                <w:sz w:val="24"/>
                <w:szCs w:val="24"/>
              </w:rPr>
              <w:t>不得检出</w:t>
            </w:r>
          </w:p>
        </w:tc>
      </w:tr>
      <w:tr w14:paraId="0858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47511569">
            <w:pPr>
              <w:pStyle w:val="13"/>
              <w:rPr>
                <w:rFonts w:hint="eastAsia" w:ascii="宋体" w:hAnsi="宋体" w:eastAsia="宋体" w:cs="宋体"/>
                <w:sz w:val="24"/>
                <w:szCs w:val="24"/>
              </w:rPr>
            </w:pPr>
            <w:r>
              <w:rPr>
                <w:rFonts w:hint="eastAsia" w:ascii="宋体" w:hAnsi="宋体" w:eastAsia="宋体" w:cs="宋体"/>
                <w:color w:val="000000"/>
                <w:sz w:val="24"/>
                <w:szCs w:val="24"/>
              </w:rPr>
              <w:t>甲基对硫磷</w:t>
            </w:r>
          </w:p>
        </w:tc>
        <w:tc>
          <w:tcPr>
            <w:tcW w:w="4581" w:type="dxa"/>
            <w:tcMar>
              <w:top w:w="0" w:type="dxa"/>
              <w:left w:w="105" w:type="dxa"/>
              <w:bottom w:w="0" w:type="dxa"/>
              <w:right w:w="105" w:type="dxa"/>
            </w:tcMar>
            <w:vAlign w:val="top"/>
          </w:tcPr>
          <w:p w14:paraId="5114EFB8">
            <w:pPr>
              <w:pStyle w:val="13"/>
              <w:rPr>
                <w:rFonts w:hint="eastAsia" w:ascii="宋体" w:hAnsi="宋体" w:eastAsia="宋体" w:cs="宋体"/>
                <w:sz w:val="24"/>
                <w:szCs w:val="24"/>
              </w:rPr>
            </w:pPr>
            <w:r>
              <w:rPr>
                <w:rFonts w:hint="eastAsia" w:ascii="宋体" w:hAnsi="宋体" w:eastAsia="宋体" w:cs="宋体"/>
                <w:color w:val="000000"/>
                <w:sz w:val="24"/>
                <w:szCs w:val="24"/>
              </w:rPr>
              <w:t>不得检出</w:t>
            </w:r>
          </w:p>
        </w:tc>
      </w:tr>
      <w:tr w14:paraId="2982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2E7ABD2A">
            <w:pPr>
              <w:pStyle w:val="13"/>
              <w:rPr>
                <w:rFonts w:hint="eastAsia" w:ascii="宋体" w:hAnsi="宋体" w:eastAsia="宋体" w:cs="宋体"/>
                <w:sz w:val="24"/>
                <w:szCs w:val="24"/>
              </w:rPr>
            </w:pPr>
            <w:r>
              <w:rPr>
                <w:rFonts w:hint="eastAsia" w:ascii="宋体" w:hAnsi="宋体" w:eastAsia="宋体" w:cs="宋体"/>
                <w:color w:val="000000"/>
                <w:sz w:val="24"/>
                <w:szCs w:val="24"/>
              </w:rPr>
              <w:t>呋喃丹</w:t>
            </w:r>
          </w:p>
        </w:tc>
        <w:tc>
          <w:tcPr>
            <w:tcW w:w="4581" w:type="dxa"/>
            <w:tcMar>
              <w:top w:w="0" w:type="dxa"/>
              <w:left w:w="105" w:type="dxa"/>
              <w:bottom w:w="0" w:type="dxa"/>
              <w:right w:w="105" w:type="dxa"/>
            </w:tcMar>
            <w:vAlign w:val="top"/>
          </w:tcPr>
          <w:p w14:paraId="7A5C384C">
            <w:pPr>
              <w:pStyle w:val="13"/>
              <w:rPr>
                <w:rFonts w:hint="eastAsia" w:ascii="宋体" w:hAnsi="宋体" w:eastAsia="宋体" w:cs="宋体"/>
                <w:sz w:val="24"/>
                <w:szCs w:val="24"/>
              </w:rPr>
            </w:pPr>
            <w:r>
              <w:rPr>
                <w:rFonts w:hint="eastAsia" w:ascii="宋体" w:hAnsi="宋体" w:eastAsia="宋体" w:cs="宋体"/>
                <w:color w:val="000000"/>
                <w:sz w:val="24"/>
                <w:szCs w:val="24"/>
              </w:rPr>
              <w:t>不得检出</w:t>
            </w:r>
          </w:p>
        </w:tc>
      </w:tr>
      <w:tr w14:paraId="697B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34B381C9">
            <w:pPr>
              <w:pStyle w:val="13"/>
              <w:rPr>
                <w:rFonts w:hint="eastAsia" w:ascii="宋体" w:hAnsi="宋体" w:eastAsia="宋体" w:cs="宋体"/>
                <w:sz w:val="24"/>
                <w:szCs w:val="24"/>
              </w:rPr>
            </w:pPr>
            <w:r>
              <w:rPr>
                <w:rFonts w:hint="eastAsia" w:ascii="宋体" w:hAnsi="宋体" w:eastAsia="宋体" w:cs="宋体"/>
                <w:color w:val="000000"/>
                <w:sz w:val="24"/>
                <w:szCs w:val="24"/>
              </w:rPr>
              <w:t>百菌清</w:t>
            </w:r>
          </w:p>
        </w:tc>
        <w:tc>
          <w:tcPr>
            <w:tcW w:w="4581" w:type="dxa"/>
            <w:tcMar>
              <w:top w:w="0" w:type="dxa"/>
              <w:left w:w="105" w:type="dxa"/>
              <w:bottom w:w="0" w:type="dxa"/>
              <w:right w:w="105" w:type="dxa"/>
            </w:tcMar>
            <w:vAlign w:val="top"/>
          </w:tcPr>
          <w:p w14:paraId="1D90F787">
            <w:pPr>
              <w:pStyle w:val="13"/>
              <w:rPr>
                <w:rFonts w:hint="eastAsia" w:ascii="宋体" w:hAnsi="宋体" w:eastAsia="宋体" w:cs="宋体"/>
                <w:sz w:val="24"/>
                <w:szCs w:val="24"/>
              </w:rPr>
            </w:pPr>
            <w:r>
              <w:rPr>
                <w:rFonts w:hint="eastAsia" w:ascii="宋体" w:hAnsi="宋体" w:eastAsia="宋体" w:cs="宋体"/>
                <w:color w:val="000000"/>
                <w:sz w:val="24"/>
                <w:szCs w:val="24"/>
              </w:rPr>
              <w:t>≤1.0</w:t>
            </w:r>
          </w:p>
        </w:tc>
      </w:tr>
      <w:tr w14:paraId="3C17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04A090D4">
            <w:pPr>
              <w:pStyle w:val="13"/>
              <w:rPr>
                <w:rFonts w:hint="eastAsia" w:ascii="宋体" w:hAnsi="宋体" w:eastAsia="宋体" w:cs="宋体"/>
                <w:sz w:val="24"/>
                <w:szCs w:val="24"/>
              </w:rPr>
            </w:pPr>
            <w:r>
              <w:rPr>
                <w:rFonts w:hint="eastAsia" w:ascii="宋体" w:hAnsi="宋体" w:eastAsia="宋体" w:cs="宋体"/>
                <w:color w:val="000000"/>
                <w:sz w:val="24"/>
                <w:szCs w:val="24"/>
              </w:rPr>
              <w:t>多菌灵</w:t>
            </w:r>
          </w:p>
        </w:tc>
        <w:tc>
          <w:tcPr>
            <w:tcW w:w="4581" w:type="dxa"/>
            <w:tcMar>
              <w:top w:w="0" w:type="dxa"/>
              <w:left w:w="105" w:type="dxa"/>
              <w:bottom w:w="0" w:type="dxa"/>
              <w:right w:w="105" w:type="dxa"/>
            </w:tcMar>
            <w:vAlign w:val="top"/>
          </w:tcPr>
          <w:p w14:paraId="3AD05430">
            <w:pPr>
              <w:pStyle w:val="13"/>
              <w:rPr>
                <w:rFonts w:hint="eastAsia" w:ascii="宋体" w:hAnsi="宋体" w:eastAsia="宋体" w:cs="宋体"/>
                <w:sz w:val="24"/>
                <w:szCs w:val="24"/>
              </w:rPr>
            </w:pPr>
            <w:r>
              <w:rPr>
                <w:rFonts w:hint="eastAsia" w:ascii="宋体" w:hAnsi="宋体" w:eastAsia="宋体" w:cs="宋体"/>
                <w:color w:val="000000"/>
                <w:sz w:val="24"/>
                <w:szCs w:val="24"/>
              </w:rPr>
              <w:t>≤0.5</w:t>
            </w:r>
          </w:p>
        </w:tc>
      </w:tr>
      <w:tr w14:paraId="1F27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5FBC7525">
            <w:pPr>
              <w:pStyle w:val="13"/>
              <w:rPr>
                <w:rFonts w:hint="eastAsia" w:ascii="宋体" w:hAnsi="宋体" w:eastAsia="宋体" w:cs="宋体"/>
                <w:sz w:val="24"/>
                <w:szCs w:val="24"/>
              </w:rPr>
            </w:pPr>
            <w:r>
              <w:rPr>
                <w:rFonts w:hint="eastAsia" w:ascii="宋体" w:hAnsi="宋体" w:eastAsia="宋体" w:cs="宋体"/>
                <w:color w:val="000000"/>
                <w:sz w:val="24"/>
                <w:szCs w:val="24"/>
              </w:rPr>
              <w:t>汞（以Hg）计</w:t>
            </w:r>
          </w:p>
        </w:tc>
        <w:tc>
          <w:tcPr>
            <w:tcW w:w="4581" w:type="dxa"/>
            <w:tcMar>
              <w:top w:w="0" w:type="dxa"/>
              <w:left w:w="105" w:type="dxa"/>
              <w:bottom w:w="0" w:type="dxa"/>
              <w:right w:w="105" w:type="dxa"/>
            </w:tcMar>
            <w:vAlign w:val="top"/>
          </w:tcPr>
          <w:p w14:paraId="7A0CBB80">
            <w:pPr>
              <w:pStyle w:val="13"/>
              <w:rPr>
                <w:rFonts w:hint="eastAsia" w:ascii="宋体" w:hAnsi="宋体" w:eastAsia="宋体" w:cs="宋体"/>
                <w:sz w:val="24"/>
                <w:szCs w:val="24"/>
              </w:rPr>
            </w:pPr>
            <w:r>
              <w:rPr>
                <w:rFonts w:hint="eastAsia" w:ascii="宋体" w:hAnsi="宋体" w:eastAsia="宋体" w:cs="宋体"/>
                <w:color w:val="000000"/>
                <w:sz w:val="24"/>
                <w:szCs w:val="24"/>
              </w:rPr>
              <w:t>≤0.01</w:t>
            </w:r>
          </w:p>
        </w:tc>
      </w:tr>
      <w:tr w14:paraId="128A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2D80737E">
            <w:pPr>
              <w:pStyle w:val="13"/>
              <w:rPr>
                <w:rFonts w:hint="eastAsia" w:ascii="宋体" w:hAnsi="宋体" w:eastAsia="宋体" w:cs="宋体"/>
                <w:sz w:val="24"/>
                <w:szCs w:val="24"/>
              </w:rPr>
            </w:pPr>
            <w:r>
              <w:rPr>
                <w:rFonts w:hint="eastAsia" w:ascii="宋体" w:hAnsi="宋体" w:eastAsia="宋体" w:cs="宋体"/>
                <w:color w:val="000000"/>
                <w:sz w:val="24"/>
                <w:szCs w:val="24"/>
              </w:rPr>
              <w:t>铅（以Pb）计</w:t>
            </w:r>
          </w:p>
        </w:tc>
        <w:tc>
          <w:tcPr>
            <w:tcW w:w="4581" w:type="dxa"/>
            <w:tcMar>
              <w:top w:w="0" w:type="dxa"/>
              <w:left w:w="105" w:type="dxa"/>
              <w:bottom w:w="0" w:type="dxa"/>
              <w:right w:w="105" w:type="dxa"/>
            </w:tcMar>
            <w:vAlign w:val="top"/>
          </w:tcPr>
          <w:p w14:paraId="25A87536">
            <w:pPr>
              <w:pStyle w:val="13"/>
              <w:rPr>
                <w:rFonts w:hint="eastAsia" w:ascii="宋体" w:hAnsi="宋体" w:eastAsia="宋体" w:cs="宋体"/>
                <w:sz w:val="24"/>
                <w:szCs w:val="24"/>
              </w:rPr>
            </w:pPr>
            <w:r>
              <w:rPr>
                <w:rFonts w:hint="eastAsia" w:ascii="宋体" w:hAnsi="宋体" w:eastAsia="宋体" w:cs="宋体"/>
                <w:color w:val="000000"/>
                <w:sz w:val="24"/>
                <w:szCs w:val="24"/>
              </w:rPr>
              <w:t>≤0.2</w:t>
            </w:r>
          </w:p>
        </w:tc>
      </w:tr>
      <w:tr w14:paraId="1461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22163F4F">
            <w:pPr>
              <w:pStyle w:val="13"/>
              <w:rPr>
                <w:rFonts w:hint="eastAsia" w:ascii="宋体" w:hAnsi="宋体" w:eastAsia="宋体" w:cs="宋体"/>
                <w:sz w:val="24"/>
                <w:szCs w:val="24"/>
              </w:rPr>
            </w:pPr>
            <w:r>
              <w:rPr>
                <w:rFonts w:hint="eastAsia" w:ascii="宋体" w:hAnsi="宋体" w:eastAsia="宋体" w:cs="宋体"/>
                <w:color w:val="000000"/>
                <w:sz w:val="24"/>
                <w:szCs w:val="24"/>
              </w:rPr>
              <w:t>砷（以As）计</w:t>
            </w:r>
          </w:p>
        </w:tc>
        <w:tc>
          <w:tcPr>
            <w:tcW w:w="4581" w:type="dxa"/>
            <w:tcMar>
              <w:top w:w="0" w:type="dxa"/>
              <w:left w:w="105" w:type="dxa"/>
              <w:bottom w:w="0" w:type="dxa"/>
              <w:right w:w="105" w:type="dxa"/>
            </w:tcMar>
            <w:vAlign w:val="top"/>
          </w:tcPr>
          <w:p w14:paraId="04FEF458">
            <w:pPr>
              <w:pStyle w:val="13"/>
              <w:rPr>
                <w:rFonts w:hint="eastAsia" w:ascii="宋体" w:hAnsi="宋体" w:eastAsia="宋体" w:cs="宋体"/>
                <w:sz w:val="24"/>
                <w:szCs w:val="24"/>
              </w:rPr>
            </w:pPr>
            <w:r>
              <w:rPr>
                <w:rFonts w:hint="eastAsia" w:ascii="宋体" w:hAnsi="宋体" w:eastAsia="宋体" w:cs="宋体"/>
                <w:color w:val="000000"/>
                <w:sz w:val="24"/>
                <w:szCs w:val="24"/>
              </w:rPr>
              <w:t>≤0.5</w:t>
            </w:r>
          </w:p>
        </w:tc>
      </w:tr>
      <w:tr w14:paraId="66C9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55BD5673">
            <w:pPr>
              <w:pStyle w:val="13"/>
              <w:rPr>
                <w:rFonts w:hint="eastAsia" w:ascii="宋体" w:hAnsi="宋体" w:eastAsia="宋体" w:cs="宋体"/>
                <w:sz w:val="24"/>
                <w:szCs w:val="24"/>
              </w:rPr>
            </w:pPr>
            <w:r>
              <w:rPr>
                <w:rFonts w:hint="eastAsia" w:ascii="宋体" w:hAnsi="宋体" w:eastAsia="宋体" w:cs="宋体"/>
                <w:color w:val="000000"/>
                <w:sz w:val="24"/>
                <w:szCs w:val="24"/>
              </w:rPr>
              <w:t>氟（以F）计</w:t>
            </w:r>
          </w:p>
        </w:tc>
        <w:tc>
          <w:tcPr>
            <w:tcW w:w="4581" w:type="dxa"/>
            <w:tcMar>
              <w:top w:w="0" w:type="dxa"/>
              <w:left w:w="105" w:type="dxa"/>
              <w:bottom w:w="0" w:type="dxa"/>
              <w:right w:w="105" w:type="dxa"/>
            </w:tcMar>
            <w:vAlign w:val="top"/>
          </w:tcPr>
          <w:p w14:paraId="4DE7CA5A">
            <w:pPr>
              <w:pStyle w:val="13"/>
              <w:rPr>
                <w:rFonts w:hint="eastAsia" w:ascii="宋体" w:hAnsi="宋体" w:eastAsia="宋体" w:cs="宋体"/>
                <w:sz w:val="24"/>
                <w:szCs w:val="24"/>
              </w:rPr>
            </w:pPr>
            <w:r>
              <w:rPr>
                <w:rFonts w:hint="eastAsia" w:ascii="宋体" w:hAnsi="宋体" w:eastAsia="宋体" w:cs="宋体"/>
                <w:color w:val="000000"/>
                <w:sz w:val="24"/>
                <w:szCs w:val="24"/>
              </w:rPr>
              <w:t>≤0.5</w:t>
            </w:r>
          </w:p>
        </w:tc>
      </w:tr>
      <w:tr w14:paraId="339C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22BAADF5">
            <w:pPr>
              <w:pStyle w:val="13"/>
              <w:rPr>
                <w:rFonts w:hint="eastAsia" w:ascii="宋体" w:hAnsi="宋体" w:eastAsia="宋体" w:cs="宋体"/>
                <w:sz w:val="24"/>
                <w:szCs w:val="24"/>
              </w:rPr>
            </w:pPr>
            <w:r>
              <w:rPr>
                <w:rFonts w:hint="eastAsia" w:ascii="宋体" w:hAnsi="宋体" w:eastAsia="宋体" w:cs="宋体"/>
                <w:color w:val="000000"/>
                <w:sz w:val="24"/>
                <w:szCs w:val="24"/>
              </w:rPr>
              <w:t>硝酸盐（以NaNO</w:t>
            </w:r>
            <w:r>
              <w:rPr>
                <w:rFonts w:hint="eastAsia" w:ascii="宋体" w:hAnsi="宋体" w:eastAsia="宋体" w:cs="宋体"/>
                <w:color w:val="000000"/>
                <w:sz w:val="24"/>
                <w:szCs w:val="24"/>
                <w:vertAlign w:val="subscript"/>
              </w:rPr>
              <w:t>3</w:t>
            </w:r>
            <w:r>
              <w:rPr>
                <w:rFonts w:hint="eastAsia" w:ascii="宋体" w:hAnsi="宋体" w:eastAsia="宋体" w:cs="宋体"/>
                <w:color w:val="000000"/>
                <w:sz w:val="24"/>
                <w:szCs w:val="24"/>
              </w:rPr>
              <w:t xml:space="preserve"> 计）</w:t>
            </w:r>
          </w:p>
        </w:tc>
        <w:tc>
          <w:tcPr>
            <w:tcW w:w="4581" w:type="dxa"/>
            <w:tcMar>
              <w:top w:w="0" w:type="dxa"/>
              <w:left w:w="105" w:type="dxa"/>
              <w:bottom w:w="0" w:type="dxa"/>
              <w:right w:w="105" w:type="dxa"/>
            </w:tcMar>
            <w:vAlign w:val="top"/>
          </w:tcPr>
          <w:p w14:paraId="21ED34EE">
            <w:pPr>
              <w:pStyle w:val="13"/>
              <w:rPr>
                <w:rFonts w:hint="eastAsia" w:ascii="宋体" w:hAnsi="宋体" w:eastAsia="宋体" w:cs="宋体"/>
                <w:sz w:val="24"/>
                <w:szCs w:val="24"/>
              </w:rPr>
            </w:pPr>
            <w:r>
              <w:rPr>
                <w:rFonts w:hint="eastAsia" w:ascii="宋体" w:hAnsi="宋体" w:eastAsia="宋体" w:cs="宋体"/>
                <w:color w:val="000000"/>
                <w:sz w:val="24"/>
                <w:szCs w:val="24"/>
              </w:rPr>
              <w:t>瓜果类≤600；叶菜根茎类≤1200</w:t>
            </w:r>
          </w:p>
        </w:tc>
      </w:tr>
      <w:tr w14:paraId="1E4F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5" w:type="dxa"/>
            <w:tcMar>
              <w:top w:w="0" w:type="dxa"/>
              <w:left w:w="105" w:type="dxa"/>
              <w:bottom w:w="0" w:type="dxa"/>
              <w:right w:w="105" w:type="dxa"/>
            </w:tcMar>
            <w:vAlign w:val="top"/>
          </w:tcPr>
          <w:p w14:paraId="4587793F">
            <w:pPr>
              <w:pStyle w:val="13"/>
              <w:rPr>
                <w:rFonts w:hint="eastAsia" w:ascii="宋体" w:hAnsi="宋体" w:eastAsia="宋体" w:cs="宋体"/>
                <w:sz w:val="24"/>
                <w:szCs w:val="24"/>
              </w:rPr>
            </w:pPr>
            <w:r>
              <w:rPr>
                <w:rFonts w:hint="eastAsia" w:ascii="宋体" w:hAnsi="宋体" w:eastAsia="宋体" w:cs="宋体"/>
                <w:color w:val="000000"/>
                <w:sz w:val="24"/>
                <w:szCs w:val="24"/>
              </w:rPr>
              <w:t>亚硝酸盐（以NaNO</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 xml:space="preserve"> 计）</w:t>
            </w:r>
          </w:p>
        </w:tc>
        <w:tc>
          <w:tcPr>
            <w:tcW w:w="4581" w:type="dxa"/>
            <w:tcMar>
              <w:top w:w="0" w:type="dxa"/>
              <w:left w:w="105" w:type="dxa"/>
              <w:bottom w:w="0" w:type="dxa"/>
              <w:right w:w="105" w:type="dxa"/>
            </w:tcMar>
            <w:vAlign w:val="top"/>
          </w:tcPr>
          <w:p w14:paraId="03641237">
            <w:pPr>
              <w:pStyle w:val="13"/>
              <w:rPr>
                <w:rFonts w:hint="eastAsia" w:ascii="宋体" w:hAnsi="宋体" w:eastAsia="宋体" w:cs="宋体"/>
                <w:sz w:val="24"/>
                <w:szCs w:val="24"/>
              </w:rPr>
            </w:pPr>
            <w:r>
              <w:rPr>
                <w:rFonts w:hint="eastAsia" w:ascii="宋体" w:hAnsi="宋体" w:eastAsia="宋体" w:cs="宋体"/>
                <w:color w:val="000000"/>
                <w:sz w:val="24"/>
                <w:szCs w:val="24"/>
              </w:rPr>
              <w:t>≤4</w:t>
            </w:r>
          </w:p>
        </w:tc>
      </w:tr>
    </w:tbl>
    <w:p w14:paraId="7DB71570">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（二）肉类（含生鲜、冻品、鱼类、熟食等）：</w:t>
      </w:r>
    </w:p>
    <w:p w14:paraId="3FBF9EE9">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1.质量要求</w:t>
      </w:r>
    </w:p>
    <w:p w14:paraId="0C6F4BF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所供肉类应保持较好的外观和质量等级，符合国家食品部门的有关标准，保证无异味、无霉烂变质，肉类保证来源于正规肉屠宰场，供货时须提交屠宰场的验收单及当批次有效的动物检疫合格证复印件，新鲜肉确保每日新鲜，为当天正规屠宰场宰杀的新鲜肉；冷冻肉要求肉体冻实而坚硬，无化冻现象，肉质紧密而有弹性，色泽均匀，不粘手，交货时干净、新鲜、无异味。</w:t>
      </w:r>
    </w:p>
    <w:p w14:paraId="014FB879">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冷冻品类需解冰并按解冰后的实际重量计算。</w:t>
      </w:r>
    </w:p>
    <w:p w14:paraId="79539F2D">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（3）家禽类（鸡、鸭等）需去净毛和内脏。</w:t>
      </w:r>
    </w:p>
    <w:p w14:paraId="6CD8EC11">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（4）熟食包括烧鸡、烧鸭、烧鹅等。熟食（特别是鲜制熟食）的保质期较短，保鲜要求高，供应的熟食需保证产品的品质。</w:t>
      </w:r>
    </w:p>
    <w:p w14:paraId="3E978479">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鲜鱼类鱼体饱满结实、新鲜，无腐烂异味，肉质紧密有弹性，无离骨脱刺现象。鲜鱼类来源可靠放心，无毒、无害、无污染。冷冻鱼类要求鱼眼睛清亮，角膜透明，鳞片上覆有冻结的透明黏液层，皮肤天然色泽明显。</w:t>
      </w:r>
    </w:p>
    <w:p w14:paraId="18E60312">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2.供应和管理要求</w:t>
      </w:r>
    </w:p>
    <w:p w14:paraId="011830A0">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（1）中标人提供货物应符合下列的生产（供应）企业资质证明：</w:t>
      </w:r>
    </w:p>
    <w:p w14:paraId="7BA74801">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生产（供应）企业资质证明（首次供应时提供）</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6789"/>
      </w:tblGrid>
      <w:tr w14:paraId="2EBF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7" w:type="dxa"/>
            <w:tcMar>
              <w:top w:w="0" w:type="dxa"/>
              <w:left w:w="105" w:type="dxa"/>
              <w:bottom w:w="0" w:type="dxa"/>
              <w:right w:w="105" w:type="dxa"/>
            </w:tcMar>
            <w:vAlign w:val="top"/>
          </w:tcPr>
          <w:p w14:paraId="20271B44">
            <w:pPr>
              <w:pStyle w:val="13"/>
              <w:rPr>
                <w:sz w:val="24"/>
                <w:szCs w:val="24"/>
              </w:rPr>
            </w:pPr>
            <w:r>
              <w:rPr>
                <w:color w:val="000000"/>
                <w:sz w:val="24"/>
                <w:szCs w:val="24"/>
              </w:rPr>
              <w:t>类别</w:t>
            </w:r>
          </w:p>
        </w:tc>
        <w:tc>
          <w:tcPr>
            <w:tcW w:w="6789" w:type="dxa"/>
            <w:tcMar>
              <w:top w:w="0" w:type="dxa"/>
              <w:left w:w="105" w:type="dxa"/>
              <w:bottom w:w="0" w:type="dxa"/>
              <w:right w:w="105" w:type="dxa"/>
            </w:tcMar>
            <w:vAlign w:val="top"/>
          </w:tcPr>
          <w:p w14:paraId="22B49F8E">
            <w:pPr>
              <w:pStyle w:val="13"/>
              <w:rPr>
                <w:sz w:val="24"/>
                <w:szCs w:val="24"/>
              </w:rPr>
            </w:pPr>
            <w:r>
              <w:rPr>
                <w:color w:val="000000"/>
                <w:sz w:val="24"/>
                <w:szCs w:val="24"/>
              </w:rPr>
              <w:t>资质证明</w:t>
            </w:r>
          </w:p>
        </w:tc>
      </w:tr>
      <w:tr w14:paraId="7042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tcMar>
              <w:top w:w="0" w:type="dxa"/>
              <w:left w:w="105" w:type="dxa"/>
              <w:bottom w:w="0" w:type="dxa"/>
              <w:right w:w="105" w:type="dxa"/>
            </w:tcMar>
            <w:vAlign w:val="top"/>
          </w:tcPr>
          <w:p w14:paraId="47DA7D8F">
            <w:pPr>
              <w:pStyle w:val="13"/>
              <w:rPr>
                <w:sz w:val="24"/>
                <w:szCs w:val="24"/>
              </w:rPr>
            </w:pPr>
            <w:r>
              <w:rPr>
                <w:color w:val="000000"/>
                <w:sz w:val="24"/>
                <w:szCs w:val="24"/>
              </w:rPr>
              <w:t>畜禽</w:t>
            </w:r>
          </w:p>
          <w:p w14:paraId="07AE5823">
            <w:pPr>
              <w:pStyle w:val="13"/>
              <w:rPr>
                <w:sz w:val="24"/>
                <w:szCs w:val="24"/>
              </w:rPr>
            </w:pPr>
            <w:r>
              <w:rPr>
                <w:color w:val="000000"/>
                <w:sz w:val="24"/>
                <w:szCs w:val="24"/>
              </w:rPr>
              <w:t>冻肉类</w:t>
            </w:r>
          </w:p>
        </w:tc>
        <w:tc>
          <w:tcPr>
            <w:tcW w:w="6789" w:type="dxa"/>
            <w:tcMar>
              <w:top w:w="0" w:type="dxa"/>
              <w:left w:w="105" w:type="dxa"/>
              <w:bottom w:w="0" w:type="dxa"/>
              <w:right w:w="105" w:type="dxa"/>
            </w:tcMar>
            <w:vAlign w:val="top"/>
          </w:tcPr>
          <w:p w14:paraId="1125EFBD">
            <w:pPr>
              <w:pStyle w:val="13"/>
              <w:rPr>
                <w:sz w:val="24"/>
                <w:szCs w:val="24"/>
              </w:rPr>
            </w:pPr>
            <w:r>
              <w:rPr>
                <w:color w:val="000000"/>
                <w:sz w:val="24"/>
                <w:szCs w:val="24"/>
              </w:rPr>
              <w:t>《企业法人营业执照》、《动物防疫合格证》</w:t>
            </w:r>
          </w:p>
          <w:p w14:paraId="12513C93">
            <w:pPr>
              <w:pStyle w:val="13"/>
              <w:rPr>
                <w:sz w:val="24"/>
                <w:szCs w:val="24"/>
              </w:rPr>
            </w:pPr>
            <w:r>
              <w:rPr>
                <w:color w:val="000000"/>
                <w:sz w:val="24"/>
                <w:szCs w:val="24"/>
              </w:rPr>
              <w:t>《食品生产许可证》或《食品经营许可证》</w:t>
            </w:r>
          </w:p>
        </w:tc>
      </w:tr>
      <w:tr w14:paraId="2C72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tcMar>
              <w:top w:w="0" w:type="dxa"/>
              <w:left w:w="105" w:type="dxa"/>
              <w:bottom w:w="0" w:type="dxa"/>
              <w:right w:w="105" w:type="dxa"/>
            </w:tcMar>
            <w:vAlign w:val="top"/>
          </w:tcPr>
          <w:p w14:paraId="1B059845">
            <w:pPr>
              <w:pStyle w:val="13"/>
              <w:rPr>
                <w:sz w:val="24"/>
                <w:szCs w:val="24"/>
              </w:rPr>
            </w:pPr>
            <w:r>
              <w:rPr>
                <w:color w:val="000000"/>
                <w:sz w:val="24"/>
                <w:szCs w:val="24"/>
              </w:rPr>
              <w:t>肉制品</w:t>
            </w:r>
          </w:p>
        </w:tc>
        <w:tc>
          <w:tcPr>
            <w:tcW w:w="6789" w:type="dxa"/>
            <w:tcMar>
              <w:top w:w="0" w:type="dxa"/>
              <w:left w:w="105" w:type="dxa"/>
              <w:bottom w:w="0" w:type="dxa"/>
              <w:right w:w="105" w:type="dxa"/>
            </w:tcMar>
            <w:vAlign w:val="top"/>
          </w:tcPr>
          <w:p w14:paraId="6E734972">
            <w:pPr>
              <w:pStyle w:val="13"/>
              <w:rPr>
                <w:sz w:val="24"/>
                <w:szCs w:val="24"/>
              </w:rPr>
            </w:pPr>
            <w:r>
              <w:rPr>
                <w:color w:val="000000"/>
                <w:sz w:val="24"/>
                <w:szCs w:val="24"/>
              </w:rPr>
              <w:t>《企业法人营业执照》</w:t>
            </w:r>
          </w:p>
          <w:p w14:paraId="61F6CABD">
            <w:pPr>
              <w:pStyle w:val="13"/>
              <w:rPr>
                <w:sz w:val="24"/>
                <w:szCs w:val="24"/>
              </w:rPr>
            </w:pPr>
            <w:r>
              <w:rPr>
                <w:color w:val="000000"/>
                <w:sz w:val="24"/>
                <w:szCs w:val="24"/>
              </w:rPr>
              <w:t>《食品生产许可证》或《食品经营许可证》</w:t>
            </w:r>
          </w:p>
        </w:tc>
      </w:tr>
      <w:tr w14:paraId="2AD0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tcMar>
              <w:top w:w="0" w:type="dxa"/>
              <w:left w:w="105" w:type="dxa"/>
              <w:bottom w:w="0" w:type="dxa"/>
              <w:right w:w="105" w:type="dxa"/>
            </w:tcMar>
            <w:vAlign w:val="top"/>
          </w:tcPr>
          <w:p w14:paraId="2A24F91B">
            <w:pPr>
              <w:pStyle w:val="13"/>
              <w:rPr>
                <w:sz w:val="24"/>
                <w:szCs w:val="24"/>
              </w:rPr>
            </w:pPr>
            <w:r>
              <w:rPr>
                <w:color w:val="000000"/>
                <w:sz w:val="24"/>
                <w:szCs w:val="24"/>
              </w:rPr>
              <w:t>水产品</w:t>
            </w:r>
          </w:p>
        </w:tc>
        <w:tc>
          <w:tcPr>
            <w:tcW w:w="6789" w:type="dxa"/>
            <w:tcMar>
              <w:top w:w="0" w:type="dxa"/>
              <w:left w:w="105" w:type="dxa"/>
              <w:bottom w:w="0" w:type="dxa"/>
              <w:right w:w="105" w:type="dxa"/>
            </w:tcMar>
            <w:vAlign w:val="top"/>
          </w:tcPr>
          <w:p w14:paraId="2980B460">
            <w:pPr>
              <w:pStyle w:val="13"/>
              <w:rPr>
                <w:sz w:val="24"/>
                <w:szCs w:val="24"/>
              </w:rPr>
            </w:pPr>
            <w:r>
              <w:rPr>
                <w:color w:val="000000"/>
                <w:sz w:val="24"/>
                <w:szCs w:val="24"/>
              </w:rPr>
              <w:t>水产品《企业法人营业执照》</w:t>
            </w:r>
          </w:p>
        </w:tc>
      </w:tr>
    </w:tbl>
    <w:p w14:paraId="01E80558">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（2）产品票证要求：</w:t>
      </w:r>
    </w:p>
    <w:p w14:paraId="27CC382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新鲜肉类票证要求：</w:t>
      </w:r>
    </w:p>
    <w:tbl>
      <w:tblPr>
        <w:tblStyle w:val="9"/>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72"/>
        <w:gridCol w:w="3154"/>
        <w:gridCol w:w="3980"/>
      </w:tblGrid>
      <w:tr w14:paraId="4B79BA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4D3503">
            <w:pPr>
              <w:pStyle w:val="13"/>
              <w:rPr>
                <w:sz w:val="24"/>
                <w:szCs w:val="24"/>
              </w:rPr>
            </w:pPr>
            <w:r>
              <w:rPr>
                <w:color w:val="000000"/>
                <w:sz w:val="24"/>
                <w:szCs w:val="24"/>
              </w:rPr>
              <w:t>货物类别</w:t>
            </w:r>
          </w:p>
        </w:tc>
        <w:tc>
          <w:tcPr>
            <w:tcW w:w="31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51F8C3B">
            <w:pPr>
              <w:pStyle w:val="13"/>
              <w:rPr>
                <w:sz w:val="24"/>
                <w:szCs w:val="24"/>
              </w:rPr>
            </w:pPr>
            <w:r>
              <w:rPr>
                <w:color w:val="000000"/>
                <w:sz w:val="24"/>
                <w:szCs w:val="24"/>
              </w:rPr>
              <w:t>产品票证名称</w:t>
            </w:r>
          </w:p>
        </w:tc>
        <w:tc>
          <w:tcPr>
            <w:tcW w:w="39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3CF290">
            <w:pPr>
              <w:pStyle w:val="13"/>
              <w:rPr>
                <w:sz w:val="24"/>
                <w:szCs w:val="24"/>
              </w:rPr>
            </w:pPr>
            <w:r>
              <w:rPr>
                <w:color w:val="000000"/>
                <w:sz w:val="24"/>
                <w:szCs w:val="24"/>
              </w:rPr>
              <w:t>验收索证要求</w:t>
            </w:r>
          </w:p>
        </w:tc>
      </w:tr>
      <w:tr w14:paraId="3635BD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7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4B519">
            <w:pPr>
              <w:pStyle w:val="13"/>
              <w:jc w:val="center"/>
              <w:rPr>
                <w:sz w:val="24"/>
                <w:szCs w:val="24"/>
              </w:rPr>
            </w:pPr>
            <w:r>
              <w:rPr>
                <w:color w:val="000000"/>
                <w:sz w:val="24"/>
                <w:szCs w:val="24"/>
              </w:rPr>
              <w:t>猪肉类</w:t>
            </w:r>
          </w:p>
        </w:tc>
        <w:tc>
          <w:tcPr>
            <w:tcW w:w="31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A5562">
            <w:pPr>
              <w:pStyle w:val="13"/>
              <w:jc w:val="both"/>
              <w:rPr>
                <w:sz w:val="24"/>
                <w:szCs w:val="24"/>
              </w:rPr>
            </w:pPr>
            <w:r>
              <w:rPr>
                <w:color w:val="000000"/>
                <w:sz w:val="24"/>
                <w:szCs w:val="24"/>
              </w:rPr>
              <w:t>《动物产品检疫合格证》</w:t>
            </w:r>
          </w:p>
        </w:tc>
        <w:tc>
          <w:tcPr>
            <w:tcW w:w="3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40585">
            <w:pPr>
              <w:pStyle w:val="13"/>
              <w:jc w:val="both"/>
              <w:rPr>
                <w:sz w:val="24"/>
                <w:szCs w:val="24"/>
              </w:rPr>
            </w:pPr>
            <w:r>
              <w:rPr>
                <w:color w:val="000000"/>
                <w:sz w:val="24"/>
                <w:szCs w:val="24"/>
              </w:rPr>
              <w:t>要求有生产名称、地址、产品名称、产地和目的地，官方兽医签字、盖检验检疫专用章。</w:t>
            </w:r>
          </w:p>
        </w:tc>
      </w:tr>
      <w:tr w14:paraId="5AB1AD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72" w:type="dxa"/>
            <w:vMerge w:val="continue"/>
            <w:tcBorders>
              <w:top w:val="nil"/>
              <w:left w:val="single" w:color="000000" w:sz="4" w:space="0"/>
              <w:bottom w:val="single" w:color="000000" w:sz="4" w:space="0"/>
              <w:right w:val="single" w:color="000000" w:sz="4" w:space="0"/>
            </w:tcBorders>
          </w:tcPr>
          <w:p w14:paraId="54504FF4">
            <w:pPr>
              <w:rPr>
                <w:sz w:val="24"/>
                <w:szCs w:val="24"/>
              </w:rPr>
            </w:pPr>
          </w:p>
        </w:tc>
        <w:tc>
          <w:tcPr>
            <w:tcW w:w="31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2B2EB4">
            <w:pPr>
              <w:pStyle w:val="13"/>
              <w:jc w:val="both"/>
              <w:rPr>
                <w:sz w:val="24"/>
                <w:szCs w:val="24"/>
              </w:rPr>
            </w:pPr>
            <w:r>
              <w:rPr>
                <w:color w:val="000000"/>
                <w:sz w:val="24"/>
                <w:szCs w:val="24"/>
              </w:rPr>
              <w:t>《广州市畜产品检验合格证》</w:t>
            </w:r>
          </w:p>
        </w:tc>
        <w:tc>
          <w:tcPr>
            <w:tcW w:w="3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4C50A1">
            <w:pPr>
              <w:pStyle w:val="13"/>
              <w:jc w:val="both"/>
              <w:rPr>
                <w:sz w:val="24"/>
                <w:szCs w:val="24"/>
              </w:rPr>
            </w:pPr>
            <w:r>
              <w:rPr>
                <w:color w:val="000000"/>
                <w:sz w:val="24"/>
                <w:szCs w:val="24"/>
              </w:rPr>
              <w:t>有委托方、送往单位、屠宰场检验专用章、出厂时间和单号</w:t>
            </w:r>
          </w:p>
        </w:tc>
      </w:tr>
      <w:tr w14:paraId="1545F9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BAD5C">
            <w:pPr>
              <w:pStyle w:val="13"/>
              <w:jc w:val="center"/>
              <w:rPr>
                <w:sz w:val="24"/>
                <w:szCs w:val="24"/>
              </w:rPr>
            </w:pPr>
            <w:r>
              <w:rPr>
                <w:color w:val="000000"/>
                <w:sz w:val="24"/>
                <w:szCs w:val="24"/>
              </w:rPr>
              <w:t>三鸟类</w:t>
            </w:r>
          </w:p>
        </w:tc>
        <w:tc>
          <w:tcPr>
            <w:tcW w:w="31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6DA2AE">
            <w:pPr>
              <w:pStyle w:val="13"/>
              <w:jc w:val="both"/>
              <w:rPr>
                <w:sz w:val="24"/>
                <w:szCs w:val="24"/>
              </w:rPr>
            </w:pPr>
            <w:r>
              <w:rPr>
                <w:color w:val="000000"/>
                <w:sz w:val="24"/>
                <w:szCs w:val="24"/>
              </w:rPr>
              <w:t>《动物产品检疫合格证》</w:t>
            </w:r>
          </w:p>
        </w:tc>
        <w:tc>
          <w:tcPr>
            <w:tcW w:w="3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E3773">
            <w:pPr>
              <w:pStyle w:val="13"/>
              <w:jc w:val="both"/>
              <w:rPr>
                <w:sz w:val="24"/>
                <w:szCs w:val="24"/>
              </w:rPr>
            </w:pPr>
            <w:r>
              <w:rPr>
                <w:color w:val="000000"/>
                <w:sz w:val="24"/>
                <w:szCs w:val="24"/>
              </w:rPr>
              <w:t>要求有生产名称、地址、产品名称、产地和目的地，官方兽医签字、盖检验检疫专用章。</w:t>
            </w:r>
          </w:p>
        </w:tc>
      </w:tr>
      <w:tr w14:paraId="6F678B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DB7F25">
            <w:pPr>
              <w:pStyle w:val="13"/>
              <w:jc w:val="center"/>
              <w:rPr>
                <w:sz w:val="24"/>
                <w:szCs w:val="24"/>
              </w:rPr>
            </w:pPr>
            <w:r>
              <w:rPr>
                <w:color w:val="000000"/>
                <w:sz w:val="24"/>
                <w:szCs w:val="24"/>
              </w:rPr>
              <w:t>牛肉、羊肉</w:t>
            </w:r>
          </w:p>
        </w:tc>
        <w:tc>
          <w:tcPr>
            <w:tcW w:w="31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AFB3F">
            <w:pPr>
              <w:pStyle w:val="13"/>
              <w:jc w:val="both"/>
              <w:rPr>
                <w:sz w:val="24"/>
                <w:szCs w:val="24"/>
              </w:rPr>
            </w:pPr>
            <w:r>
              <w:rPr>
                <w:color w:val="000000"/>
                <w:sz w:val="24"/>
                <w:szCs w:val="24"/>
              </w:rPr>
              <w:t>《动物产品检疫合格证》</w:t>
            </w:r>
          </w:p>
        </w:tc>
        <w:tc>
          <w:tcPr>
            <w:tcW w:w="3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61A03">
            <w:pPr>
              <w:pStyle w:val="13"/>
              <w:jc w:val="both"/>
              <w:rPr>
                <w:sz w:val="24"/>
                <w:szCs w:val="24"/>
              </w:rPr>
            </w:pPr>
            <w:r>
              <w:rPr>
                <w:color w:val="000000"/>
                <w:sz w:val="24"/>
                <w:szCs w:val="24"/>
              </w:rPr>
              <w:t>要求有生产名称、地址、产品名称、产地和目的地，官方兽医签字、盖检验检疫专用章。</w:t>
            </w:r>
          </w:p>
        </w:tc>
      </w:tr>
    </w:tbl>
    <w:p w14:paraId="3C8EFCD8">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冻品货物票证要求：</w:t>
      </w:r>
    </w:p>
    <w:tbl>
      <w:tblPr>
        <w:tblStyle w:val="9"/>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34"/>
        <w:gridCol w:w="3085"/>
        <w:gridCol w:w="3987"/>
      </w:tblGrid>
      <w:tr w14:paraId="38060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929A4B">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货物类别</w:t>
            </w:r>
          </w:p>
        </w:tc>
        <w:tc>
          <w:tcPr>
            <w:tcW w:w="30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6A98A4">
            <w:pPr>
              <w:pStyle w:val="13"/>
              <w:jc w:val="both"/>
              <w:rPr>
                <w:rFonts w:hint="eastAsia" w:ascii="宋体" w:hAnsi="宋体" w:eastAsia="宋体" w:cs="宋体"/>
                <w:sz w:val="24"/>
                <w:szCs w:val="24"/>
              </w:rPr>
            </w:pPr>
            <w:r>
              <w:rPr>
                <w:rFonts w:hint="eastAsia" w:ascii="宋体" w:hAnsi="宋体" w:eastAsia="宋体" w:cs="宋体"/>
                <w:color w:val="000000"/>
                <w:sz w:val="24"/>
                <w:szCs w:val="24"/>
              </w:rPr>
              <w:t>产品票证名称</w:t>
            </w:r>
          </w:p>
        </w:tc>
        <w:tc>
          <w:tcPr>
            <w:tcW w:w="39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8EBE2F">
            <w:pPr>
              <w:pStyle w:val="13"/>
              <w:jc w:val="both"/>
              <w:rPr>
                <w:rFonts w:hint="eastAsia" w:ascii="宋体" w:hAnsi="宋体" w:eastAsia="宋体" w:cs="宋体"/>
                <w:sz w:val="24"/>
                <w:szCs w:val="24"/>
              </w:rPr>
            </w:pPr>
            <w:r>
              <w:rPr>
                <w:rFonts w:hint="eastAsia" w:ascii="宋体" w:hAnsi="宋体" w:eastAsia="宋体" w:cs="宋体"/>
                <w:color w:val="000000"/>
                <w:sz w:val="24"/>
                <w:szCs w:val="24"/>
              </w:rPr>
              <w:t>验收索证要求</w:t>
            </w:r>
          </w:p>
        </w:tc>
      </w:tr>
      <w:tr w14:paraId="7AC59B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3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A2A612">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猪、牛、羊、肉类家禽类</w:t>
            </w:r>
          </w:p>
        </w:tc>
        <w:tc>
          <w:tcPr>
            <w:tcW w:w="3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61F8C8">
            <w:pPr>
              <w:pStyle w:val="13"/>
              <w:jc w:val="both"/>
              <w:rPr>
                <w:rFonts w:hint="eastAsia" w:ascii="宋体" w:hAnsi="宋体" w:eastAsia="宋体" w:cs="宋体"/>
                <w:sz w:val="24"/>
                <w:szCs w:val="24"/>
              </w:rPr>
            </w:pPr>
            <w:r>
              <w:rPr>
                <w:rFonts w:hint="eastAsia" w:ascii="宋体" w:hAnsi="宋体" w:eastAsia="宋体" w:cs="宋体"/>
                <w:color w:val="000000"/>
                <w:sz w:val="24"/>
                <w:szCs w:val="24"/>
              </w:rPr>
              <w:t>1.《出县境动物产品检疫合格证》</w:t>
            </w:r>
          </w:p>
        </w:tc>
        <w:tc>
          <w:tcPr>
            <w:tcW w:w="39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5B19D">
            <w:pPr>
              <w:pStyle w:val="13"/>
              <w:jc w:val="both"/>
              <w:rPr>
                <w:rFonts w:hint="eastAsia" w:ascii="宋体" w:hAnsi="宋体" w:eastAsia="宋体" w:cs="宋体"/>
                <w:sz w:val="24"/>
                <w:szCs w:val="24"/>
              </w:rPr>
            </w:pPr>
            <w:r>
              <w:rPr>
                <w:rFonts w:hint="eastAsia" w:ascii="宋体" w:hAnsi="宋体" w:eastAsia="宋体" w:cs="宋体"/>
                <w:color w:val="000000"/>
                <w:sz w:val="24"/>
                <w:szCs w:val="24"/>
              </w:rPr>
              <w:t>由政府动植物检疫部门出具，用于跨区销售检查。</w:t>
            </w:r>
          </w:p>
        </w:tc>
      </w:tr>
      <w:tr w14:paraId="790AF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34" w:type="dxa"/>
            <w:vMerge w:val="continue"/>
            <w:tcBorders>
              <w:top w:val="nil"/>
              <w:left w:val="single" w:color="000000" w:sz="4" w:space="0"/>
              <w:bottom w:val="single" w:color="000000" w:sz="4" w:space="0"/>
              <w:right w:val="single" w:color="000000" w:sz="4" w:space="0"/>
            </w:tcBorders>
          </w:tcPr>
          <w:p w14:paraId="1435B976">
            <w:pPr>
              <w:rPr>
                <w:rFonts w:hint="eastAsia" w:ascii="宋体" w:hAnsi="宋体" w:eastAsia="宋体" w:cs="宋体"/>
                <w:sz w:val="24"/>
                <w:szCs w:val="24"/>
              </w:rPr>
            </w:pPr>
          </w:p>
        </w:tc>
        <w:tc>
          <w:tcPr>
            <w:tcW w:w="3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5BD7BA">
            <w:pPr>
              <w:pStyle w:val="13"/>
              <w:jc w:val="both"/>
              <w:rPr>
                <w:rFonts w:hint="eastAsia" w:ascii="宋体" w:hAnsi="宋体" w:eastAsia="宋体" w:cs="宋体"/>
                <w:sz w:val="24"/>
                <w:szCs w:val="24"/>
              </w:rPr>
            </w:pPr>
            <w:r>
              <w:rPr>
                <w:rFonts w:hint="eastAsia" w:ascii="宋体" w:hAnsi="宋体" w:eastAsia="宋体" w:cs="宋体"/>
                <w:color w:val="000000"/>
                <w:sz w:val="24"/>
                <w:szCs w:val="24"/>
              </w:rPr>
              <w:t>2.《产品合格证》</w:t>
            </w:r>
          </w:p>
        </w:tc>
        <w:tc>
          <w:tcPr>
            <w:tcW w:w="39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62D9A">
            <w:pPr>
              <w:pStyle w:val="13"/>
              <w:jc w:val="both"/>
              <w:rPr>
                <w:rFonts w:hint="eastAsia" w:ascii="宋体" w:hAnsi="宋体" w:eastAsia="宋体" w:cs="宋体"/>
                <w:sz w:val="24"/>
                <w:szCs w:val="24"/>
              </w:rPr>
            </w:pPr>
            <w:r>
              <w:rPr>
                <w:rFonts w:hint="eastAsia" w:ascii="宋体" w:hAnsi="宋体" w:eastAsia="宋体" w:cs="宋体"/>
                <w:color w:val="000000"/>
                <w:sz w:val="24"/>
                <w:szCs w:val="24"/>
              </w:rPr>
              <w:t>交货时提供本批次产品的出厂</w:t>
            </w:r>
          </w:p>
          <w:p w14:paraId="5C5A3820">
            <w:pPr>
              <w:pStyle w:val="13"/>
              <w:jc w:val="both"/>
              <w:rPr>
                <w:rFonts w:hint="eastAsia" w:ascii="宋体" w:hAnsi="宋体" w:eastAsia="宋体" w:cs="宋体"/>
                <w:sz w:val="24"/>
                <w:szCs w:val="24"/>
              </w:rPr>
            </w:pPr>
            <w:r>
              <w:rPr>
                <w:rFonts w:hint="eastAsia" w:ascii="宋体" w:hAnsi="宋体" w:eastAsia="宋体" w:cs="宋体"/>
                <w:color w:val="000000"/>
                <w:sz w:val="24"/>
                <w:szCs w:val="24"/>
              </w:rPr>
              <w:t>（库）检验合格证，随车同行。</w:t>
            </w:r>
          </w:p>
        </w:tc>
      </w:tr>
      <w:tr w14:paraId="0E6AD1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34" w:type="dxa"/>
            <w:vMerge w:val="continue"/>
            <w:tcBorders>
              <w:top w:val="nil"/>
              <w:left w:val="single" w:color="000000" w:sz="4" w:space="0"/>
              <w:bottom w:val="single" w:color="000000" w:sz="4" w:space="0"/>
              <w:right w:val="single" w:color="000000" w:sz="4" w:space="0"/>
            </w:tcBorders>
          </w:tcPr>
          <w:p w14:paraId="02CFF955">
            <w:pPr>
              <w:rPr>
                <w:rFonts w:hint="eastAsia" w:ascii="宋体" w:hAnsi="宋体" w:eastAsia="宋体" w:cs="宋体"/>
                <w:sz w:val="24"/>
                <w:szCs w:val="24"/>
              </w:rPr>
            </w:pPr>
          </w:p>
        </w:tc>
        <w:tc>
          <w:tcPr>
            <w:tcW w:w="3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5F829">
            <w:pPr>
              <w:pStyle w:val="13"/>
              <w:jc w:val="both"/>
              <w:rPr>
                <w:rFonts w:hint="eastAsia" w:ascii="宋体" w:hAnsi="宋体" w:eastAsia="宋体" w:cs="宋体"/>
                <w:sz w:val="24"/>
                <w:szCs w:val="24"/>
              </w:rPr>
            </w:pPr>
            <w:r>
              <w:rPr>
                <w:rFonts w:hint="eastAsia" w:ascii="宋体" w:hAnsi="宋体" w:eastAsia="宋体" w:cs="宋体"/>
                <w:color w:val="000000"/>
                <w:sz w:val="24"/>
                <w:szCs w:val="24"/>
              </w:rPr>
              <w:t>3.《动物产品防疫合格证》</w:t>
            </w:r>
          </w:p>
        </w:tc>
        <w:tc>
          <w:tcPr>
            <w:tcW w:w="39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B1372">
            <w:pPr>
              <w:pStyle w:val="13"/>
              <w:jc w:val="both"/>
              <w:rPr>
                <w:rFonts w:hint="eastAsia" w:ascii="宋体" w:hAnsi="宋体" w:eastAsia="宋体" w:cs="宋体"/>
                <w:sz w:val="24"/>
                <w:szCs w:val="24"/>
              </w:rPr>
            </w:pPr>
            <w:r>
              <w:rPr>
                <w:rFonts w:hint="eastAsia" w:ascii="宋体" w:hAnsi="宋体" w:eastAsia="宋体" w:cs="宋体"/>
                <w:color w:val="000000"/>
                <w:sz w:val="24"/>
                <w:szCs w:val="24"/>
              </w:rPr>
              <w:t>当批次有效，原件备查。</w:t>
            </w:r>
          </w:p>
        </w:tc>
      </w:tr>
      <w:tr w14:paraId="10BE82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3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DC8806">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肉制品</w:t>
            </w:r>
          </w:p>
        </w:tc>
        <w:tc>
          <w:tcPr>
            <w:tcW w:w="3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BFCEA">
            <w:pPr>
              <w:pStyle w:val="13"/>
              <w:jc w:val="both"/>
              <w:rPr>
                <w:rFonts w:hint="eastAsia" w:ascii="宋体" w:hAnsi="宋体" w:eastAsia="宋体" w:cs="宋体"/>
                <w:sz w:val="24"/>
                <w:szCs w:val="24"/>
              </w:rPr>
            </w:pPr>
            <w:r>
              <w:rPr>
                <w:rFonts w:hint="eastAsia" w:ascii="宋体" w:hAnsi="宋体" w:eastAsia="宋体" w:cs="宋体"/>
                <w:color w:val="000000"/>
                <w:sz w:val="24"/>
                <w:szCs w:val="24"/>
              </w:rPr>
              <w:t>1.《卫生检疫报告》</w:t>
            </w:r>
          </w:p>
        </w:tc>
        <w:tc>
          <w:tcPr>
            <w:tcW w:w="39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30AF3">
            <w:pPr>
              <w:pStyle w:val="13"/>
              <w:jc w:val="both"/>
              <w:rPr>
                <w:rFonts w:hint="eastAsia" w:ascii="宋体" w:hAnsi="宋体" w:eastAsia="宋体" w:cs="宋体"/>
                <w:sz w:val="24"/>
                <w:szCs w:val="24"/>
              </w:rPr>
            </w:pPr>
            <w:r>
              <w:rPr>
                <w:rFonts w:hint="eastAsia" w:ascii="宋体" w:hAnsi="宋体" w:eastAsia="宋体" w:cs="宋体"/>
                <w:color w:val="000000"/>
                <w:sz w:val="24"/>
                <w:szCs w:val="24"/>
              </w:rPr>
              <w:t>由政府疾控部门或卫生检验部门出具（半年内有效）。</w:t>
            </w:r>
          </w:p>
        </w:tc>
      </w:tr>
      <w:tr w14:paraId="4C90D9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34" w:type="dxa"/>
            <w:vMerge w:val="continue"/>
            <w:tcBorders>
              <w:top w:val="nil"/>
              <w:left w:val="single" w:color="000000" w:sz="4" w:space="0"/>
              <w:bottom w:val="single" w:color="000000" w:sz="4" w:space="0"/>
              <w:right w:val="single" w:color="000000" w:sz="4" w:space="0"/>
            </w:tcBorders>
          </w:tcPr>
          <w:p w14:paraId="709423F1">
            <w:pPr>
              <w:rPr>
                <w:rFonts w:hint="eastAsia" w:ascii="宋体" w:hAnsi="宋体" w:eastAsia="宋体" w:cs="宋体"/>
                <w:sz w:val="24"/>
                <w:szCs w:val="24"/>
              </w:rPr>
            </w:pPr>
          </w:p>
        </w:tc>
        <w:tc>
          <w:tcPr>
            <w:tcW w:w="3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F90B6C">
            <w:pPr>
              <w:pStyle w:val="13"/>
              <w:jc w:val="both"/>
              <w:rPr>
                <w:rFonts w:hint="eastAsia" w:ascii="宋体" w:hAnsi="宋体" w:eastAsia="宋体" w:cs="宋体"/>
                <w:sz w:val="24"/>
                <w:szCs w:val="24"/>
              </w:rPr>
            </w:pPr>
            <w:r>
              <w:rPr>
                <w:rFonts w:hint="eastAsia" w:ascii="宋体" w:hAnsi="宋体" w:eastAsia="宋体" w:cs="宋体"/>
                <w:color w:val="000000"/>
                <w:sz w:val="24"/>
                <w:szCs w:val="24"/>
              </w:rPr>
              <w:t>2.《产品合格证》</w:t>
            </w:r>
          </w:p>
        </w:tc>
        <w:tc>
          <w:tcPr>
            <w:tcW w:w="39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B327C">
            <w:pPr>
              <w:pStyle w:val="13"/>
              <w:jc w:val="both"/>
              <w:rPr>
                <w:rFonts w:hint="eastAsia" w:ascii="宋体" w:hAnsi="宋体" w:eastAsia="宋体" w:cs="宋体"/>
                <w:sz w:val="24"/>
                <w:szCs w:val="24"/>
              </w:rPr>
            </w:pPr>
            <w:r>
              <w:rPr>
                <w:rFonts w:hint="eastAsia" w:ascii="宋体" w:hAnsi="宋体" w:eastAsia="宋体" w:cs="宋体"/>
                <w:color w:val="000000"/>
                <w:sz w:val="24"/>
                <w:szCs w:val="24"/>
              </w:rPr>
              <w:t>交货时提供本批次产品的出厂</w:t>
            </w:r>
          </w:p>
          <w:p w14:paraId="0BF72305">
            <w:pPr>
              <w:pStyle w:val="13"/>
              <w:jc w:val="both"/>
              <w:rPr>
                <w:rFonts w:hint="eastAsia" w:ascii="宋体" w:hAnsi="宋体" w:eastAsia="宋体" w:cs="宋体"/>
                <w:sz w:val="24"/>
                <w:szCs w:val="24"/>
              </w:rPr>
            </w:pPr>
            <w:r>
              <w:rPr>
                <w:rFonts w:hint="eastAsia" w:ascii="宋体" w:hAnsi="宋体" w:eastAsia="宋体" w:cs="宋体"/>
                <w:color w:val="000000"/>
                <w:sz w:val="24"/>
                <w:szCs w:val="24"/>
              </w:rPr>
              <w:t>（库）检验合格证，随车同行。</w:t>
            </w:r>
          </w:p>
        </w:tc>
      </w:tr>
      <w:tr w14:paraId="0F7EC8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A5D6AA">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水产品</w:t>
            </w:r>
          </w:p>
        </w:tc>
        <w:tc>
          <w:tcPr>
            <w:tcW w:w="3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FFA5D1">
            <w:pPr>
              <w:pStyle w:val="13"/>
              <w:jc w:val="both"/>
              <w:rPr>
                <w:rFonts w:hint="eastAsia" w:ascii="宋体" w:hAnsi="宋体" w:eastAsia="宋体" w:cs="宋体"/>
                <w:sz w:val="24"/>
                <w:szCs w:val="24"/>
              </w:rPr>
            </w:pPr>
            <w:r>
              <w:rPr>
                <w:rFonts w:hint="eastAsia" w:ascii="宋体" w:hAnsi="宋体" w:eastAsia="宋体" w:cs="宋体"/>
                <w:color w:val="000000"/>
                <w:sz w:val="24"/>
                <w:szCs w:val="24"/>
              </w:rPr>
              <w:t>贮存地的出入库检疫证明，水产品成型标准为个体单独冷冻成型。</w:t>
            </w:r>
          </w:p>
        </w:tc>
        <w:tc>
          <w:tcPr>
            <w:tcW w:w="39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3BB8B3">
            <w:pPr>
              <w:pStyle w:val="13"/>
              <w:jc w:val="both"/>
              <w:rPr>
                <w:rFonts w:hint="eastAsia" w:ascii="宋体" w:hAnsi="宋体" w:eastAsia="宋体" w:cs="宋体"/>
                <w:sz w:val="24"/>
                <w:szCs w:val="24"/>
              </w:rPr>
            </w:pPr>
            <w:r>
              <w:rPr>
                <w:rFonts w:hint="eastAsia" w:ascii="宋体" w:hAnsi="宋体" w:eastAsia="宋体" w:cs="宋体"/>
                <w:color w:val="000000"/>
                <w:sz w:val="24"/>
                <w:szCs w:val="24"/>
              </w:rPr>
              <w:t>交货时提供本批次产品的出厂</w:t>
            </w:r>
          </w:p>
          <w:p w14:paraId="7B616441">
            <w:pPr>
              <w:pStyle w:val="13"/>
              <w:jc w:val="both"/>
              <w:rPr>
                <w:rFonts w:hint="eastAsia" w:ascii="宋体" w:hAnsi="宋体" w:eastAsia="宋体" w:cs="宋体"/>
                <w:sz w:val="24"/>
                <w:szCs w:val="24"/>
              </w:rPr>
            </w:pPr>
            <w:r>
              <w:rPr>
                <w:rFonts w:hint="eastAsia" w:ascii="宋体" w:hAnsi="宋体" w:eastAsia="宋体" w:cs="宋体"/>
                <w:color w:val="000000"/>
                <w:sz w:val="24"/>
                <w:szCs w:val="24"/>
              </w:rPr>
              <w:t>（库）检验合格证，随车同行。</w:t>
            </w:r>
          </w:p>
        </w:tc>
      </w:tr>
    </w:tbl>
    <w:p w14:paraId="1A25A265">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（三）粮油类</w:t>
      </w:r>
    </w:p>
    <w:p w14:paraId="3D8D1E65">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（1）食用油品质要求</w:t>
      </w:r>
    </w:p>
    <w:p w14:paraId="5E52AD87">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①基本要求：外包装完好，不得采购“QS”标志食用油，须采购具有新食品生产编号的产品，标明品名、厂名、重量、生产日期、保质期或保存期、执行标准，剩余保质期不少于三分二，具有产品合格证。</w:t>
      </w:r>
    </w:p>
    <w:p w14:paraId="3CEB3744">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②食用油生产企业的资质证明（首次供应时提供）：《企业法人营业执照》，《食品经营许可证》（经销商或者代理商须提供），《全国工业产品生产许可证》或《食品生产许可证》（生产制造商须提供）。</w:t>
      </w:r>
    </w:p>
    <w:p w14:paraId="0DC4616C">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大米质量标准：不得采购“QS”标志大米，须采购具有新食品生产编号的产品，标明加工厂名称、品名、生产日期、保持期或保存期，供货时的剩余保质期不少于三分之二，质量等级、产品标准号、产品合格证，质量符合大米国家标准与国家粮食卫生标准。</w:t>
      </w:r>
    </w:p>
    <w:p w14:paraId="45CFE9DA">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（四）干货、副食品类</w:t>
      </w:r>
    </w:p>
    <w:p w14:paraId="2AE98F64">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1.质量要求：</w:t>
      </w:r>
    </w:p>
    <w:p w14:paraId="0108E658">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干货、副食品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副食品必须具有食品质量认证标志。采购人可根据实际情况对需要的干货制品进行品质抽检，对质量未达到国家标准的干货制品采购人有权拒绝接受。</w:t>
      </w:r>
    </w:p>
    <w:p w14:paraId="4A5A12EC">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（2）标签标识：标明产品名称、净含量、生产者名称和地址、生产日期、保质期、产品标准号、质量等级、生产许可证号、产品批号等内容。</w:t>
      </w:r>
    </w:p>
    <w:p w14:paraId="73FF3365">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（3）品牌要求：在满足质量要求的前提下，按照采购人每次下订单的要求提供货品。</w:t>
      </w:r>
    </w:p>
    <w:p w14:paraId="44AE8653">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（4）质量要求：符合国家食品标准，提供的货品剩余保存期不少于保质期的三分之二。</w:t>
      </w:r>
    </w:p>
    <w:p w14:paraId="77A8985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（5）几种主要干货制品的质量标准：</w:t>
      </w:r>
    </w:p>
    <w:p w14:paraId="3B44C1C8">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紫菜：属海产红藻类植物，因鲜紫菜叶较宽大，经干制成长方块形，散片状卷筒，其中以卷筒形柔嫩微脆、叶薄、色紫清香鲜美的为品质优。</w:t>
      </w:r>
    </w:p>
    <w:p w14:paraId="2FBB1A2B">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腐竹：腐竹又名豆腐皮和油皮，有一、二、三级品之分。一级品：色泽黄亮、干燥筋韧、耐贮、无碎块。二级品：颜色较一级品灰黄、干燥无碎块。三级品：颜色更灰黄、无光泽、易碎、筋韧性差。</w:t>
      </w:r>
    </w:p>
    <w:p w14:paraId="382E5619">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粉丝：质量好的粉丝，粉条细长、白净、晶莹透明、丝条均匀、整齐、干燥，不易折断，无斑点、黑迹，无霉变，有粉丝特有的光泽。</w:t>
      </w:r>
    </w:p>
    <w:p w14:paraId="5C646F3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黑木耳：黑木耳的质量一般以条形大而完整，耳瓣舒展少卷曲，内厚黑，富于光泽，体干不霉，无杂质和碎者为优，反之则差。</w:t>
      </w:r>
    </w:p>
    <w:p w14:paraId="620E1314">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银耳：银耳又称白木耳，以朵大、色洁白、有光泽、无杂质，根小、干度足，完整者为佳品，朵小、色黄、根大、无光泽，散碎者次之；黄黑色者质量最次，</w:t>
      </w:r>
    </w:p>
    <w:p w14:paraId="536453A5">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依上述标准可将银耳分为上中下三等。质量好的银耳，根部易稣烂，食之柔软，质量次则根部大而发硬。</w:t>
      </w:r>
    </w:p>
    <w:p w14:paraId="1ED8D5EA">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花菇：朵小柄短，呈半球状，菇伞顶面有似菊花似的白色裂纹，肉厚、菌盖色泽淡黑，菇底褶，通过加工呈淡黄色，身干、质嫩、有芳香气味者为质好香菇。</w:t>
      </w:r>
    </w:p>
    <w:p w14:paraId="743DA8FC">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干贝：上等干贝粒大完整、黄亮干燥、肉质饱满，肉丝清晰、粗且有特殊香气。粒小、碎破、色淡无光泽者较次。破碎、发黑发霉的为变质品。</w:t>
      </w:r>
    </w:p>
    <w:p w14:paraId="10592E08">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鱿鱼：市场上常见的鱿鱼有椭圆形和长方形，选购时应注意：体干、体形完整、光亮洁净、淡粉红色、片大头小、肉厚者为优。体形部分卷曲，尾部和背部红中透暗，两侧有微红点、体小而宽、肉薄者为次品。</w:t>
      </w:r>
    </w:p>
    <w:p w14:paraId="608F3E1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（6）几种主要副食品的质量要求：</w:t>
      </w:r>
    </w:p>
    <w:p w14:paraId="69C3FB14">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鸡蛋：蛋壳清洁完整，色泽鲜明，无破损、裂纹，无霉斑，灯光透视时，整个蛋呈桔黄色至橙红色，蛋黄不见或略见阴影，没有霉味、酸味，臭味等不良气味，打开后蛋黄凸起、完整、有韧性，蛋白澄清、透明、稀稠分明，无异味。</w:t>
      </w:r>
    </w:p>
    <w:p w14:paraId="159975DC">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皮蛋：外表泥状包料完整、无霉斑，包料除掉后蛋壳亦完整无损，灯光透照蛋内容物凝固不动，打开观察，整个蛋凝固、不粘壳、清洁而有弹性、呈半透明的棕黄色，闻起来有芳香，无辛辣气。</w:t>
      </w:r>
    </w:p>
    <w:p w14:paraId="629B0EAC">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咸蛋：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00D81564">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豆腐：豆腐呈均匀的乳白色或淡黄色，稍有光泽，块形完整，软硬适度，富有一定的弹性，质地细嫩、结构均匀、无杂质，具有豆腐特有的香味，取样品品尝时口感细腻鲜嫩，味道纯正清香。</w:t>
      </w:r>
    </w:p>
    <w:p w14:paraId="3B0BBA74">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腐竹：为枝条或片叶状，质脆易折，条状折断有空心，无霉斑、杂质、虫蛀。呈淡黄色，有光泽。具有腐竹固有的香味，无其他任何异味，取样品品尝其滋味，具有腐竹固有的鲜香滋味。</w:t>
      </w:r>
    </w:p>
    <w:p w14:paraId="0B8B3E6B">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大豆：豆皮色呈各种大豆固有的颜色，光彩油亮，洁净而有光泽，颗粒饱满，整齐均匀，无虫蛀粒，无杂质，无霉变。</w:t>
      </w:r>
    </w:p>
    <w:p w14:paraId="0C70F648">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花生：果荚呈土黄色或白色，果仁呈各不同品种所特有的颜色，色泽分布均匀一致，带荚花生和去荚果仁均颗粒饱满、形态完整、大小均匀，子叶肥厚而有光泽，无杂质，具有花生特有的气味、香味，无任何异味。</w:t>
      </w:r>
    </w:p>
    <w:p w14:paraId="6CFBB025">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食糖：干燥，晶粒松散，不粘手，不结块，无肉眼可见的杂质，白糖的水溶液应清晰透明无杂质。</w:t>
      </w:r>
    </w:p>
    <w:p w14:paraId="5799EAC0">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2.供应和管理要求</w:t>
      </w:r>
    </w:p>
    <w:p w14:paraId="2BEA37B1">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（1）供应要求的资质证明：</w:t>
      </w:r>
    </w:p>
    <w:p w14:paraId="40F9B163">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生产（供应）企业的资质证明：（首次供应时提供）</w:t>
      </w:r>
    </w:p>
    <w:tbl>
      <w:tblPr>
        <w:tblStyle w:val="9"/>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87"/>
        <w:gridCol w:w="6819"/>
      </w:tblGrid>
      <w:tr w14:paraId="0ED6DB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14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E1A44B">
            <w:pPr>
              <w:pStyle w:val="13"/>
              <w:rPr>
                <w:sz w:val="24"/>
                <w:szCs w:val="24"/>
              </w:rPr>
            </w:pPr>
            <w:r>
              <w:rPr>
                <w:color w:val="000000"/>
                <w:sz w:val="24"/>
                <w:szCs w:val="24"/>
              </w:rPr>
              <w:t>类别</w:t>
            </w:r>
          </w:p>
        </w:tc>
        <w:tc>
          <w:tcPr>
            <w:tcW w:w="68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EE4DC3">
            <w:pPr>
              <w:pStyle w:val="13"/>
              <w:rPr>
                <w:sz w:val="24"/>
                <w:szCs w:val="24"/>
              </w:rPr>
            </w:pPr>
            <w:r>
              <w:rPr>
                <w:color w:val="000000"/>
                <w:sz w:val="24"/>
                <w:szCs w:val="24"/>
              </w:rPr>
              <w:t>资质证明</w:t>
            </w:r>
          </w:p>
        </w:tc>
      </w:tr>
      <w:tr w14:paraId="438B97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0B1ED">
            <w:pPr>
              <w:pStyle w:val="13"/>
              <w:rPr>
                <w:sz w:val="24"/>
                <w:szCs w:val="24"/>
              </w:rPr>
            </w:pPr>
            <w:r>
              <w:rPr>
                <w:color w:val="000000"/>
                <w:sz w:val="24"/>
                <w:szCs w:val="24"/>
              </w:rPr>
              <w:t>副食品</w:t>
            </w:r>
          </w:p>
        </w:tc>
        <w:tc>
          <w:tcPr>
            <w:tcW w:w="68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BD6614">
            <w:pPr>
              <w:pStyle w:val="13"/>
              <w:rPr>
                <w:sz w:val="24"/>
                <w:szCs w:val="24"/>
              </w:rPr>
            </w:pPr>
            <w:r>
              <w:rPr>
                <w:color w:val="000000"/>
                <w:sz w:val="24"/>
                <w:szCs w:val="24"/>
              </w:rPr>
              <w:t>《企业法人营业执照》</w:t>
            </w:r>
          </w:p>
        </w:tc>
      </w:tr>
    </w:tbl>
    <w:p w14:paraId="4F4EDDB0">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产品票证要求：</w:t>
      </w:r>
    </w:p>
    <w:tbl>
      <w:tblPr>
        <w:tblStyle w:val="9"/>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02"/>
        <w:gridCol w:w="2058"/>
        <w:gridCol w:w="4746"/>
      </w:tblGrid>
      <w:tr w14:paraId="699C66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15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A15D79">
            <w:pPr>
              <w:pStyle w:val="13"/>
              <w:rPr>
                <w:sz w:val="24"/>
                <w:szCs w:val="24"/>
              </w:rPr>
            </w:pPr>
            <w:r>
              <w:rPr>
                <w:color w:val="000000"/>
                <w:sz w:val="24"/>
                <w:szCs w:val="24"/>
              </w:rPr>
              <w:t>类别</w:t>
            </w:r>
          </w:p>
        </w:tc>
        <w:tc>
          <w:tcPr>
            <w:tcW w:w="20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8FC2AE">
            <w:pPr>
              <w:pStyle w:val="13"/>
              <w:rPr>
                <w:sz w:val="24"/>
                <w:szCs w:val="24"/>
              </w:rPr>
            </w:pPr>
            <w:r>
              <w:rPr>
                <w:color w:val="000000"/>
                <w:sz w:val="24"/>
                <w:szCs w:val="24"/>
              </w:rPr>
              <w:t>产品资质名称</w:t>
            </w:r>
          </w:p>
        </w:tc>
        <w:tc>
          <w:tcPr>
            <w:tcW w:w="47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D7A418A">
            <w:pPr>
              <w:pStyle w:val="13"/>
              <w:rPr>
                <w:sz w:val="24"/>
                <w:szCs w:val="24"/>
              </w:rPr>
            </w:pPr>
            <w:r>
              <w:rPr>
                <w:color w:val="000000"/>
                <w:sz w:val="24"/>
                <w:szCs w:val="24"/>
              </w:rPr>
              <w:t>验收索证要求</w:t>
            </w:r>
          </w:p>
        </w:tc>
      </w:tr>
      <w:tr w14:paraId="2819D7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474DDB">
            <w:pPr>
              <w:pStyle w:val="13"/>
              <w:rPr>
                <w:sz w:val="24"/>
                <w:szCs w:val="24"/>
              </w:rPr>
            </w:pPr>
            <w:r>
              <w:rPr>
                <w:color w:val="000000"/>
                <w:sz w:val="24"/>
                <w:szCs w:val="24"/>
              </w:rPr>
              <w:t>副食品</w:t>
            </w:r>
          </w:p>
        </w:tc>
        <w:tc>
          <w:tcPr>
            <w:tcW w:w="20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861E55">
            <w:pPr>
              <w:pStyle w:val="13"/>
              <w:rPr>
                <w:sz w:val="24"/>
                <w:szCs w:val="24"/>
              </w:rPr>
            </w:pPr>
            <w:r>
              <w:rPr>
                <w:color w:val="000000"/>
                <w:sz w:val="24"/>
                <w:szCs w:val="24"/>
              </w:rPr>
              <w:t>货物清单</w:t>
            </w:r>
          </w:p>
        </w:tc>
        <w:tc>
          <w:tcPr>
            <w:tcW w:w="4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E04D6D">
            <w:pPr>
              <w:pStyle w:val="13"/>
              <w:rPr>
                <w:sz w:val="24"/>
                <w:szCs w:val="24"/>
              </w:rPr>
            </w:pPr>
            <w:r>
              <w:rPr>
                <w:color w:val="000000"/>
                <w:sz w:val="24"/>
                <w:szCs w:val="24"/>
              </w:rPr>
              <w:t>加盖供应商公章的货物清单（送货单）</w:t>
            </w:r>
          </w:p>
        </w:tc>
      </w:tr>
    </w:tbl>
    <w:p w14:paraId="7C15ED4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（五）奶制品</w:t>
      </w:r>
    </w:p>
    <w:p w14:paraId="6C70C2ED">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1.质量要求</w:t>
      </w:r>
    </w:p>
    <w:p w14:paraId="6F552E9B">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 奶制品的质量基本标准要求符合国家行业标准，确保产品质量稳定，保证营养丰富、绿色安全。从加工、包装、运输、贮存到销售全部符合国家规定标准 。采购人可根据实际情况对需要的奶制品进行品质抽检，对质量未达到国家标准的奶制品采购人有权拒绝接受。</w:t>
      </w:r>
    </w:p>
    <w:p w14:paraId="34E2C21D">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 所有奶制品均为正规厂家生产，包装完整 ，所有产品有食品生产许可标志，标明商品名称、规格、生产商、产地、生产日期、保质期或保存期。</w:t>
      </w:r>
    </w:p>
    <w:p w14:paraId="7FC0C76D">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 所提供的奶制品取得CMA认证。</w:t>
      </w:r>
    </w:p>
    <w:p w14:paraId="45F8537A">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 奶制品类别：</w:t>
      </w:r>
    </w:p>
    <w:tbl>
      <w:tblPr>
        <w:tblStyle w:val="9"/>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0"/>
        <w:gridCol w:w="2325"/>
        <w:gridCol w:w="1920"/>
        <w:gridCol w:w="2715"/>
      </w:tblGrid>
      <w:tr w14:paraId="62E4F9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10"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center"/>
          </w:tcPr>
          <w:p w14:paraId="07928AF2">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序号</w:t>
            </w:r>
          </w:p>
        </w:tc>
        <w:tc>
          <w:tcPr>
            <w:tcW w:w="232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5729D9">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名称</w:t>
            </w:r>
          </w:p>
        </w:tc>
        <w:tc>
          <w:tcPr>
            <w:tcW w:w="192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B799BEE">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序号</w:t>
            </w:r>
          </w:p>
        </w:tc>
        <w:tc>
          <w:tcPr>
            <w:tcW w:w="271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BEBEAA4">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名称</w:t>
            </w:r>
          </w:p>
        </w:tc>
      </w:tr>
      <w:tr w14:paraId="38C92D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1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7F843E82">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E122C5">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纯牛奶</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12CFF9F">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2.</w:t>
            </w:r>
          </w:p>
        </w:tc>
        <w:tc>
          <w:tcPr>
            <w:tcW w:w="271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B724C5E">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酸牛奶</w:t>
            </w:r>
          </w:p>
        </w:tc>
      </w:tr>
      <w:tr w14:paraId="222058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10"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center"/>
          </w:tcPr>
          <w:p w14:paraId="2A22DBF1">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3.</w:t>
            </w:r>
          </w:p>
        </w:tc>
        <w:tc>
          <w:tcPr>
            <w:tcW w:w="232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center"/>
          </w:tcPr>
          <w:p w14:paraId="5E2E039C">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益生菌奶</w:t>
            </w:r>
          </w:p>
        </w:tc>
        <w:tc>
          <w:tcPr>
            <w:tcW w:w="192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center"/>
          </w:tcPr>
          <w:p w14:paraId="0B4085F4">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4.</w:t>
            </w:r>
          </w:p>
        </w:tc>
        <w:tc>
          <w:tcPr>
            <w:tcW w:w="271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center"/>
          </w:tcPr>
          <w:p w14:paraId="5F55EB1C">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各种风味牛奶</w:t>
            </w:r>
          </w:p>
        </w:tc>
      </w:tr>
    </w:tbl>
    <w:p w14:paraId="78CE35D2">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2.供应和管理要求</w:t>
      </w:r>
    </w:p>
    <w:p w14:paraId="7317F7AA">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2.1.鲜奶</w:t>
      </w:r>
    </w:p>
    <w:p w14:paraId="5F8D67E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鲜奶是指未经任何处理的原奶，它直接从乳牛或乳羊中提取而来。鲜奶通常需要进行杀菌处理，以确保其安全性。根据脂肪含量的不同，鲜奶可以进一步分为全脂鲜奶、半脱脂鲜奶和脱脂鲜奶。</w:t>
      </w:r>
    </w:p>
    <w:p w14:paraId="54ADD712">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2.2.常温奶</w:t>
      </w:r>
    </w:p>
    <w:p w14:paraId="4C5E53D0">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常温奶是指在存储和运输过程中无需冷藏的奶制品。它经过高温短时杀菌处理，以延长其保质期。常温奶的种类多样，包括全脂常温奶、低脂常温奶和脱脂常温奶等。</w:t>
      </w:r>
    </w:p>
    <w:p w14:paraId="479ADEAB">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2.3.乳制品</w:t>
      </w:r>
    </w:p>
    <w:p w14:paraId="2AA7A7F3">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乳制品是指经过加工制作的奶制品，常见的包括酸奶、奶酪、黄油、奶粉等。乳制品的加工过程可以使乳液中的营养物质更易吸收，增加产品的口感和储存稳定性。</w:t>
      </w:r>
    </w:p>
    <w:p w14:paraId="5F068212">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3.以下是常见的奶制品标准要点：</w:t>
      </w:r>
    </w:p>
    <w:p w14:paraId="573ED604">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3.1.外观和包装</w:t>
      </w:r>
    </w:p>
    <w:p w14:paraId="742D5577">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奶制品应具有良好的外观和包装，包装应完好无损，无漏气或渗漏。产品本身应无异味、无异物、无色泽异常。</w:t>
      </w:r>
    </w:p>
    <w:p w14:paraId="23DDAB5B">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3.2.营养成分</w:t>
      </w:r>
    </w:p>
    <w:p w14:paraId="7AB553E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奶制品的营养成分应符合相应的国家标准，如脂肪含量、蛋白质含量、维生素和矿物质含量等。</w:t>
      </w:r>
    </w:p>
    <w:p w14:paraId="35F1EBD9">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3.3.微生物指标</w:t>
      </w:r>
    </w:p>
    <w:p w14:paraId="69411C2D">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奶制品应符合微生物指标要求，如总菌落数、大肠菌群、霉菌和酵母菌等。微生物指标反映了产品在生产和贮存过程中的卫生状况。</w:t>
      </w:r>
    </w:p>
    <w:p w14:paraId="722B5BA9">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3.4.添加物</w:t>
      </w:r>
    </w:p>
    <w:p w14:paraId="6BA0CF4F">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奶制品中的添加物应符合国家规定，如防腐剂、增稠剂、甜味剂等。添加物的使用应符合安全和卫生要求。</w:t>
      </w:r>
    </w:p>
    <w:p w14:paraId="5F0FDA83">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3.5.残留物</w:t>
      </w:r>
    </w:p>
    <w:p w14:paraId="65999A4B">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奶制品中的残留物应符合国家标准，如农药残留物、兽药残留物等。残留物对人体健康有潜在的风险，应严格控制在安全范围内。</w:t>
      </w:r>
    </w:p>
    <w:p w14:paraId="3D78F01C">
      <w:pPr>
        <w:pStyle w:val="13"/>
      </w:pPr>
      <w:r>
        <w:rPr>
          <w:color w:val="000000"/>
          <w:sz w:val="21"/>
        </w:rPr>
        <w:t>（六）咸杂类</w:t>
      </w:r>
    </w:p>
    <w:p w14:paraId="441BDA11">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1.质量要求</w:t>
      </w:r>
    </w:p>
    <w:p w14:paraId="59A7E760">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 咸杂类食品应保持较好的色泽和新鲜度，例如蔬菜水果应保持玉白或微黄，无腐烂、泥沙等现象。冷冻类及干货应在保质期范围内，并保持较好的外观和等级。鲜肉类应来源于正规肉厂，为当日新鲜商品，并经政府相关检验合格。海鲜、河鲜产品必须新鲜。</w:t>
      </w:r>
    </w:p>
    <w:p w14:paraId="0505490F">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 食品添加剂的使用应符合国家标准，如酱腌菜中的二氧化硫残留量应不超过每千克0.1g。过量使用食品添加剂可能对人体带来危害，因此建议消费者在选购时注意辨别产品的色、香、味等是否正常，如发现颜色灰暗、酸味刺鼻等现象，应谨慎购买。</w:t>
      </w:r>
    </w:p>
    <w:p w14:paraId="3FA2591F">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 严禁配送假冒、变质、过期的产品，不得弄虚作假或以次充好。如不符合投标文件所描述的质量标准，必须退货并承担违约责任。</w:t>
      </w:r>
    </w:p>
    <w:p w14:paraId="2BC5E9E2">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 产品的包装和贮存应符合标签、标志要求，确保产品在运输和贮存过程中的质量和安全。</w:t>
      </w:r>
    </w:p>
    <w:p w14:paraId="24C1407C">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2.供应和管理要求</w:t>
      </w:r>
    </w:p>
    <w:p w14:paraId="4A4508C6">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 标准要求符合国家相关行业标准，不霉烂、整齐、均匀、完整、无杂质，保持应有的色泽。确保产品质量稳定，保证营养丰富、绿色安全、易存放、食用方便，保质期长。从加工、包装、运输、贮存到销售全部符合国家规定标准。采购人可根据实际情况对需要的食材进行品质抽检，对质量未达到国家标准的食材采购人有权拒绝接受。</w:t>
      </w:r>
    </w:p>
    <w:p w14:paraId="09C41D2D">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 标签标识：标明产品名称、净含量、生产者名称和地址、生产日期、保质期、产品标准号、质量等级、生产许可证号、产品批号等内容。</w:t>
      </w:r>
    </w:p>
    <w:p w14:paraId="71696CCB">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 品牌要求：在满足质量要求的前提下，按照采购人每次下订单的要求提供货品。</w:t>
      </w:r>
    </w:p>
    <w:p w14:paraId="74292F6A">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 质量要求：符合国家食品标准，提供的货品剩余保存期不少于保质期的三分之二。</w:t>
      </w:r>
    </w:p>
    <w:p w14:paraId="44C9D03C">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（1）供应要求的资质证明：</w:t>
      </w:r>
    </w:p>
    <w:p w14:paraId="2CF35B10">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生产（供应）企业的资质证明：（首次供应时提供）</w:t>
      </w:r>
    </w:p>
    <w:tbl>
      <w:tblPr>
        <w:tblStyle w:val="9"/>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87"/>
        <w:gridCol w:w="6819"/>
      </w:tblGrid>
      <w:tr w14:paraId="2F10C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80EBB3">
            <w:pPr>
              <w:pStyle w:val="13"/>
              <w:rPr>
                <w:sz w:val="24"/>
                <w:szCs w:val="24"/>
              </w:rPr>
            </w:pPr>
            <w:r>
              <w:rPr>
                <w:color w:val="000000"/>
                <w:sz w:val="24"/>
                <w:szCs w:val="24"/>
              </w:rPr>
              <w:t>类别</w:t>
            </w:r>
          </w:p>
        </w:tc>
        <w:tc>
          <w:tcPr>
            <w:tcW w:w="68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C3333A">
            <w:pPr>
              <w:pStyle w:val="13"/>
              <w:rPr>
                <w:sz w:val="24"/>
                <w:szCs w:val="24"/>
              </w:rPr>
            </w:pPr>
            <w:r>
              <w:rPr>
                <w:color w:val="000000"/>
                <w:sz w:val="24"/>
                <w:szCs w:val="24"/>
              </w:rPr>
              <w:t>资质证明</w:t>
            </w:r>
          </w:p>
        </w:tc>
      </w:tr>
      <w:tr w14:paraId="165C01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FC238">
            <w:pPr>
              <w:pStyle w:val="13"/>
              <w:rPr>
                <w:sz w:val="24"/>
                <w:szCs w:val="24"/>
              </w:rPr>
            </w:pPr>
            <w:r>
              <w:rPr>
                <w:color w:val="000000"/>
                <w:sz w:val="24"/>
                <w:szCs w:val="24"/>
              </w:rPr>
              <w:t>咸杂类</w:t>
            </w:r>
          </w:p>
        </w:tc>
        <w:tc>
          <w:tcPr>
            <w:tcW w:w="68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866B8">
            <w:pPr>
              <w:pStyle w:val="13"/>
              <w:rPr>
                <w:sz w:val="24"/>
                <w:szCs w:val="24"/>
              </w:rPr>
            </w:pPr>
            <w:r>
              <w:rPr>
                <w:color w:val="000000"/>
                <w:sz w:val="24"/>
                <w:szCs w:val="24"/>
              </w:rPr>
              <w:t>《企业法人营业执照》</w:t>
            </w:r>
          </w:p>
        </w:tc>
      </w:tr>
    </w:tbl>
    <w:p w14:paraId="52C4D839">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产品票证要求：</w:t>
      </w:r>
    </w:p>
    <w:tbl>
      <w:tblPr>
        <w:tblStyle w:val="9"/>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02"/>
        <w:gridCol w:w="2058"/>
        <w:gridCol w:w="4746"/>
      </w:tblGrid>
      <w:tr w14:paraId="194320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EEA61B">
            <w:pPr>
              <w:pStyle w:val="13"/>
              <w:rPr>
                <w:sz w:val="24"/>
                <w:szCs w:val="24"/>
              </w:rPr>
            </w:pPr>
            <w:r>
              <w:rPr>
                <w:color w:val="000000"/>
                <w:sz w:val="24"/>
                <w:szCs w:val="24"/>
              </w:rPr>
              <w:t>类别</w:t>
            </w:r>
          </w:p>
        </w:tc>
        <w:tc>
          <w:tcPr>
            <w:tcW w:w="20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FC93F3">
            <w:pPr>
              <w:pStyle w:val="13"/>
              <w:rPr>
                <w:sz w:val="24"/>
                <w:szCs w:val="24"/>
              </w:rPr>
            </w:pPr>
            <w:r>
              <w:rPr>
                <w:color w:val="000000"/>
                <w:sz w:val="24"/>
                <w:szCs w:val="24"/>
              </w:rPr>
              <w:t>产品资质名称</w:t>
            </w:r>
          </w:p>
        </w:tc>
        <w:tc>
          <w:tcPr>
            <w:tcW w:w="47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1487C4">
            <w:pPr>
              <w:pStyle w:val="13"/>
              <w:rPr>
                <w:sz w:val="24"/>
                <w:szCs w:val="24"/>
              </w:rPr>
            </w:pPr>
            <w:r>
              <w:rPr>
                <w:color w:val="000000"/>
                <w:sz w:val="24"/>
                <w:szCs w:val="24"/>
              </w:rPr>
              <w:t>验收索证要求</w:t>
            </w:r>
          </w:p>
        </w:tc>
      </w:tr>
      <w:tr w14:paraId="079D36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D4786">
            <w:pPr>
              <w:pStyle w:val="13"/>
              <w:rPr>
                <w:sz w:val="24"/>
                <w:szCs w:val="24"/>
              </w:rPr>
            </w:pPr>
            <w:r>
              <w:rPr>
                <w:color w:val="000000"/>
                <w:sz w:val="24"/>
                <w:szCs w:val="24"/>
              </w:rPr>
              <w:t>咸杂类</w:t>
            </w:r>
          </w:p>
        </w:tc>
        <w:tc>
          <w:tcPr>
            <w:tcW w:w="20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A56464">
            <w:pPr>
              <w:pStyle w:val="13"/>
              <w:rPr>
                <w:sz w:val="24"/>
                <w:szCs w:val="24"/>
              </w:rPr>
            </w:pPr>
            <w:r>
              <w:rPr>
                <w:color w:val="000000"/>
                <w:sz w:val="24"/>
                <w:szCs w:val="24"/>
              </w:rPr>
              <w:t>货物清单</w:t>
            </w:r>
          </w:p>
        </w:tc>
        <w:tc>
          <w:tcPr>
            <w:tcW w:w="4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D31A7D">
            <w:pPr>
              <w:pStyle w:val="13"/>
              <w:rPr>
                <w:sz w:val="24"/>
                <w:szCs w:val="24"/>
              </w:rPr>
            </w:pPr>
            <w:r>
              <w:rPr>
                <w:color w:val="000000"/>
                <w:sz w:val="24"/>
                <w:szCs w:val="24"/>
              </w:rPr>
              <w:t>加盖供应商公章的货物清单（送货单）</w:t>
            </w:r>
          </w:p>
        </w:tc>
      </w:tr>
    </w:tbl>
    <w:p w14:paraId="1E01B134">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（七）水果类</w:t>
      </w:r>
    </w:p>
    <w:p w14:paraId="0A9CBBD4">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1.质量要求</w:t>
      </w:r>
    </w:p>
    <w:p w14:paraId="31EC0FB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水果的品种（包括但不仅限于以下品种）：苹果、橙子、柑、石榴、杨桃、香蕉、圣女果、哈密瓜、西瓜、木瓜、提子、水晶梨、香梨、砂糖橘、金桔、沙田柚、奇异果、火龙果等，具体提供的品种顺应季节变化。</w:t>
      </w:r>
    </w:p>
    <w:p w14:paraId="78986CE5">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2)质量要求：</w:t>
      </w:r>
    </w:p>
    <w:p w14:paraId="60402AB8">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A、水果供应链要求：所有水果的来源必须清晰。</w:t>
      </w:r>
    </w:p>
    <w:p w14:paraId="12696007">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B、所提供的水果应当色泽光鲜、水润饱满、无腐烂，果品表面清洁新鲜，无病虫害和机械损伤，带有芳香味。</w:t>
      </w:r>
    </w:p>
    <w:p w14:paraId="7F4F8532">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C、中标人所提供的果品应符合国家规定的绿色果品要求。应是优质、洁净，其品质、营养价值和卫生安全指标应严格符合国家的规定及相关食品卫生标准。</w:t>
      </w:r>
    </w:p>
    <w:p w14:paraId="63A698B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D、定期提供水果农药残留量检测报告，产地正宗，包装整齐无烂箱现象。无腐烂、压伤、冻伤痕迹，表皮无虫害及斑点，具有自然色泽及果香，新鲜且个头均匀。无使用水果防腐剂、催熟剂或其他激素类药物。</w:t>
      </w:r>
    </w:p>
    <w:p w14:paraId="34E5F8FD">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3)水果检验标准(果品感官鉴别要点)</w:t>
      </w:r>
    </w:p>
    <w:p w14:paraId="523985C1">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A、鲜果品的感官鉴别方法主要是目测、鼻嗅和口尝。其中目测包括三方面的内容：</w:t>
      </w:r>
    </w:p>
    <w:p w14:paraId="527B66AD">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一是果品的成熟度和是否具有该品种应有的色泽及形态特征；</w:t>
      </w:r>
    </w:p>
    <w:p w14:paraId="5061030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二是果型是否端正，个头大小是否基本一致；</w:t>
      </w:r>
    </w:p>
    <w:p w14:paraId="720C620D">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三是果品表面是否清洁新鲜，有无病虫害和机械损伤等。</w:t>
      </w:r>
    </w:p>
    <w:p w14:paraId="486ED46A">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鼻嗅则是辨别果品是否带有本品种所特有的芳香味，果品的变质可以通过其气味的不良改变直接鉴别出来，像西瓜的馊味等，都是很好的例证。口尝不但能感知果品的滋味是否正常，还能感觉到果肉的质地是否良好，它也是很重要的一个感官指标。</w:t>
      </w:r>
    </w:p>
    <w:p w14:paraId="05F7C686">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B、干果品虽然较鲜果的含水量低或是经过了干制，但其感官鉴别的原则与指标都基本上和前述三项大同小异。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61"/>
        <w:gridCol w:w="6360"/>
      </w:tblGrid>
      <w:tr w14:paraId="3E0E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3" w:type="dxa"/>
            <w:tcMar>
              <w:top w:w="0" w:type="dxa"/>
              <w:left w:w="105" w:type="dxa"/>
              <w:bottom w:w="0" w:type="dxa"/>
              <w:right w:w="105" w:type="dxa"/>
            </w:tcMar>
            <w:vAlign w:val="center"/>
          </w:tcPr>
          <w:p w14:paraId="5A1B5171">
            <w:pPr>
              <w:pStyle w:val="13"/>
              <w:jc w:val="both"/>
              <w:rPr>
                <w:rFonts w:hint="eastAsia" w:ascii="宋体" w:hAnsi="宋体" w:eastAsia="宋体" w:cs="宋体"/>
                <w:sz w:val="24"/>
                <w:szCs w:val="24"/>
              </w:rPr>
            </w:pPr>
            <w:r>
              <w:rPr>
                <w:rFonts w:hint="eastAsia" w:ascii="宋体" w:hAnsi="宋体" w:eastAsia="宋体" w:cs="宋体"/>
                <w:color w:val="000000"/>
                <w:sz w:val="24"/>
                <w:szCs w:val="24"/>
              </w:rPr>
              <w:t>序号</w:t>
            </w:r>
          </w:p>
        </w:tc>
        <w:tc>
          <w:tcPr>
            <w:tcW w:w="1261" w:type="dxa"/>
            <w:tcMar>
              <w:top w:w="0" w:type="dxa"/>
              <w:left w:w="105" w:type="dxa"/>
              <w:bottom w:w="0" w:type="dxa"/>
              <w:right w:w="105" w:type="dxa"/>
            </w:tcMar>
            <w:vAlign w:val="center"/>
          </w:tcPr>
          <w:p w14:paraId="09A1E3BD">
            <w:pPr>
              <w:pStyle w:val="13"/>
              <w:jc w:val="both"/>
              <w:rPr>
                <w:rFonts w:hint="eastAsia" w:ascii="宋体" w:hAnsi="宋体" w:eastAsia="宋体" w:cs="宋体"/>
                <w:sz w:val="24"/>
                <w:szCs w:val="24"/>
              </w:rPr>
            </w:pPr>
            <w:r>
              <w:rPr>
                <w:rFonts w:hint="eastAsia" w:ascii="宋体" w:hAnsi="宋体" w:eastAsia="宋体" w:cs="宋体"/>
                <w:color w:val="000000"/>
                <w:sz w:val="24"/>
                <w:szCs w:val="24"/>
              </w:rPr>
              <w:t>水果名称</w:t>
            </w:r>
          </w:p>
        </w:tc>
        <w:tc>
          <w:tcPr>
            <w:tcW w:w="6360" w:type="dxa"/>
            <w:tcMar>
              <w:top w:w="0" w:type="dxa"/>
              <w:left w:w="105" w:type="dxa"/>
              <w:bottom w:w="0" w:type="dxa"/>
              <w:right w:w="105" w:type="dxa"/>
            </w:tcMar>
            <w:vAlign w:val="center"/>
          </w:tcPr>
          <w:p w14:paraId="567D861C">
            <w:pPr>
              <w:pStyle w:val="13"/>
              <w:jc w:val="both"/>
              <w:rPr>
                <w:rFonts w:hint="eastAsia" w:ascii="宋体" w:hAnsi="宋体" w:eastAsia="宋体" w:cs="宋体"/>
                <w:sz w:val="24"/>
                <w:szCs w:val="24"/>
              </w:rPr>
            </w:pPr>
            <w:r>
              <w:rPr>
                <w:rFonts w:hint="eastAsia" w:ascii="宋体" w:hAnsi="宋体" w:eastAsia="宋体" w:cs="宋体"/>
                <w:color w:val="000000"/>
                <w:sz w:val="24"/>
                <w:szCs w:val="24"/>
              </w:rPr>
              <w:t>感官要求</w:t>
            </w:r>
          </w:p>
        </w:tc>
      </w:tr>
      <w:tr w14:paraId="11AC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Mar>
              <w:top w:w="0" w:type="dxa"/>
              <w:left w:w="105" w:type="dxa"/>
              <w:bottom w:w="0" w:type="dxa"/>
              <w:right w:w="105" w:type="dxa"/>
            </w:tcMar>
            <w:vAlign w:val="top"/>
          </w:tcPr>
          <w:p w14:paraId="60EF08E9">
            <w:pPr>
              <w:pStyle w:val="13"/>
              <w:jc w:val="both"/>
              <w:rPr>
                <w:rFonts w:hint="eastAsia" w:ascii="宋体" w:hAnsi="宋体" w:eastAsia="宋体" w:cs="宋体"/>
                <w:sz w:val="24"/>
                <w:szCs w:val="24"/>
              </w:rPr>
            </w:pPr>
            <w:r>
              <w:rPr>
                <w:rFonts w:hint="eastAsia" w:ascii="宋体" w:hAnsi="宋体" w:eastAsia="宋体" w:cs="宋体"/>
                <w:color w:val="000000"/>
                <w:sz w:val="24"/>
                <w:szCs w:val="24"/>
              </w:rPr>
              <w:t>1</w:t>
            </w:r>
          </w:p>
        </w:tc>
        <w:tc>
          <w:tcPr>
            <w:tcW w:w="1261" w:type="dxa"/>
            <w:tcMar>
              <w:top w:w="0" w:type="dxa"/>
              <w:left w:w="105" w:type="dxa"/>
              <w:bottom w:w="0" w:type="dxa"/>
              <w:right w:w="105" w:type="dxa"/>
            </w:tcMar>
            <w:vAlign w:val="top"/>
          </w:tcPr>
          <w:p w14:paraId="0EE583AB">
            <w:pPr>
              <w:pStyle w:val="13"/>
              <w:jc w:val="both"/>
              <w:rPr>
                <w:rFonts w:hint="eastAsia" w:ascii="宋体" w:hAnsi="宋体" w:eastAsia="宋体" w:cs="宋体"/>
                <w:sz w:val="24"/>
                <w:szCs w:val="24"/>
              </w:rPr>
            </w:pPr>
            <w:r>
              <w:rPr>
                <w:rFonts w:hint="eastAsia" w:ascii="宋体" w:hAnsi="宋体" w:eastAsia="宋体" w:cs="宋体"/>
                <w:color w:val="000000"/>
                <w:sz w:val="24"/>
                <w:szCs w:val="24"/>
              </w:rPr>
              <w:t>提子</w:t>
            </w:r>
          </w:p>
        </w:tc>
        <w:tc>
          <w:tcPr>
            <w:tcW w:w="6360" w:type="dxa"/>
            <w:tcMar>
              <w:top w:w="0" w:type="dxa"/>
              <w:left w:w="105" w:type="dxa"/>
              <w:bottom w:w="0" w:type="dxa"/>
              <w:right w:w="105" w:type="dxa"/>
            </w:tcMar>
            <w:vAlign w:val="top"/>
          </w:tcPr>
          <w:p w14:paraId="03580AEB">
            <w:pPr>
              <w:pStyle w:val="13"/>
              <w:jc w:val="both"/>
              <w:rPr>
                <w:rFonts w:hint="eastAsia" w:ascii="宋体" w:hAnsi="宋体" w:eastAsia="宋体" w:cs="宋体"/>
                <w:sz w:val="24"/>
                <w:szCs w:val="24"/>
              </w:rPr>
            </w:pPr>
            <w:r>
              <w:rPr>
                <w:rFonts w:hint="eastAsia" w:ascii="宋体" w:hAnsi="宋体" w:eastAsia="宋体" w:cs="宋体"/>
                <w:color w:val="000000"/>
                <w:sz w:val="24"/>
                <w:szCs w:val="24"/>
              </w:rPr>
              <w:t>果穗完整，新鲜洁净，外形美观，无任何病斑或裂口，无异常的外部水分，无异常气味和滋味，具有适于市场和贮存要求的生理成熟度</w:t>
            </w:r>
          </w:p>
        </w:tc>
      </w:tr>
      <w:tr w14:paraId="6C6C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Mar>
              <w:top w:w="0" w:type="dxa"/>
              <w:left w:w="105" w:type="dxa"/>
              <w:bottom w:w="0" w:type="dxa"/>
              <w:right w:w="105" w:type="dxa"/>
            </w:tcMar>
            <w:vAlign w:val="top"/>
          </w:tcPr>
          <w:p w14:paraId="067A881C">
            <w:pPr>
              <w:pStyle w:val="13"/>
              <w:jc w:val="both"/>
              <w:rPr>
                <w:rFonts w:hint="eastAsia" w:ascii="宋体" w:hAnsi="宋体" w:eastAsia="宋体" w:cs="宋体"/>
                <w:sz w:val="24"/>
                <w:szCs w:val="24"/>
              </w:rPr>
            </w:pPr>
            <w:r>
              <w:rPr>
                <w:rFonts w:hint="eastAsia" w:ascii="宋体" w:hAnsi="宋体" w:eastAsia="宋体" w:cs="宋体"/>
                <w:color w:val="000000"/>
                <w:sz w:val="24"/>
                <w:szCs w:val="24"/>
              </w:rPr>
              <w:t>2</w:t>
            </w:r>
          </w:p>
        </w:tc>
        <w:tc>
          <w:tcPr>
            <w:tcW w:w="1261" w:type="dxa"/>
            <w:tcMar>
              <w:top w:w="0" w:type="dxa"/>
              <w:left w:w="105" w:type="dxa"/>
              <w:bottom w:w="0" w:type="dxa"/>
              <w:right w:w="105" w:type="dxa"/>
            </w:tcMar>
            <w:vAlign w:val="top"/>
          </w:tcPr>
          <w:p w14:paraId="645C5318">
            <w:pPr>
              <w:pStyle w:val="13"/>
              <w:jc w:val="both"/>
              <w:rPr>
                <w:rFonts w:hint="eastAsia" w:ascii="宋体" w:hAnsi="宋体" w:eastAsia="宋体" w:cs="宋体"/>
                <w:sz w:val="24"/>
                <w:szCs w:val="24"/>
              </w:rPr>
            </w:pPr>
            <w:r>
              <w:rPr>
                <w:rFonts w:hint="eastAsia" w:ascii="宋体" w:hAnsi="宋体" w:eastAsia="宋体" w:cs="宋体"/>
                <w:color w:val="000000"/>
                <w:sz w:val="24"/>
                <w:szCs w:val="24"/>
              </w:rPr>
              <w:t>火龙果</w:t>
            </w:r>
          </w:p>
        </w:tc>
        <w:tc>
          <w:tcPr>
            <w:tcW w:w="6360" w:type="dxa"/>
            <w:tcMar>
              <w:top w:w="0" w:type="dxa"/>
              <w:left w:w="105" w:type="dxa"/>
              <w:bottom w:w="0" w:type="dxa"/>
              <w:right w:w="105" w:type="dxa"/>
            </w:tcMar>
            <w:vAlign w:val="top"/>
          </w:tcPr>
          <w:p w14:paraId="6F2D8C63">
            <w:pPr>
              <w:pStyle w:val="13"/>
              <w:jc w:val="both"/>
              <w:rPr>
                <w:rFonts w:hint="eastAsia" w:ascii="宋体" w:hAnsi="宋体" w:eastAsia="宋体" w:cs="宋体"/>
                <w:sz w:val="24"/>
                <w:szCs w:val="24"/>
              </w:rPr>
            </w:pPr>
            <w:r>
              <w:rPr>
                <w:rFonts w:hint="eastAsia" w:ascii="宋体" w:hAnsi="宋体" w:eastAsia="宋体" w:cs="宋体"/>
                <w:color w:val="000000"/>
                <w:sz w:val="24"/>
                <w:szCs w:val="24"/>
              </w:rPr>
              <w:t>果皮光滑、着色均匀、有光泽、无机械伤、无腐烂、无异味、无病虫害。</w:t>
            </w:r>
          </w:p>
        </w:tc>
      </w:tr>
      <w:tr w14:paraId="12CF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Mar>
              <w:top w:w="0" w:type="dxa"/>
              <w:left w:w="105" w:type="dxa"/>
              <w:bottom w:w="0" w:type="dxa"/>
              <w:right w:w="105" w:type="dxa"/>
            </w:tcMar>
            <w:vAlign w:val="top"/>
          </w:tcPr>
          <w:p w14:paraId="39A8C4D6">
            <w:pPr>
              <w:pStyle w:val="13"/>
              <w:jc w:val="both"/>
              <w:rPr>
                <w:rFonts w:hint="eastAsia" w:ascii="宋体" w:hAnsi="宋体" w:eastAsia="宋体" w:cs="宋体"/>
                <w:sz w:val="24"/>
                <w:szCs w:val="24"/>
              </w:rPr>
            </w:pPr>
            <w:r>
              <w:rPr>
                <w:rFonts w:hint="eastAsia" w:ascii="宋体" w:hAnsi="宋体" w:eastAsia="宋体" w:cs="宋体"/>
                <w:color w:val="000000"/>
                <w:sz w:val="24"/>
                <w:szCs w:val="24"/>
              </w:rPr>
              <w:t>3</w:t>
            </w:r>
          </w:p>
        </w:tc>
        <w:tc>
          <w:tcPr>
            <w:tcW w:w="1261" w:type="dxa"/>
            <w:tcMar>
              <w:top w:w="0" w:type="dxa"/>
              <w:left w:w="105" w:type="dxa"/>
              <w:bottom w:w="0" w:type="dxa"/>
              <w:right w:w="105" w:type="dxa"/>
            </w:tcMar>
            <w:vAlign w:val="top"/>
          </w:tcPr>
          <w:p w14:paraId="65DC917B">
            <w:pPr>
              <w:pStyle w:val="13"/>
              <w:jc w:val="both"/>
              <w:rPr>
                <w:rFonts w:hint="eastAsia" w:ascii="宋体" w:hAnsi="宋体" w:eastAsia="宋体" w:cs="宋体"/>
                <w:sz w:val="24"/>
                <w:szCs w:val="24"/>
              </w:rPr>
            </w:pPr>
            <w:r>
              <w:rPr>
                <w:rFonts w:hint="eastAsia" w:ascii="宋体" w:hAnsi="宋体" w:eastAsia="宋体" w:cs="宋体"/>
                <w:color w:val="000000"/>
                <w:sz w:val="24"/>
                <w:szCs w:val="24"/>
              </w:rPr>
              <w:t>苹果</w:t>
            </w:r>
          </w:p>
        </w:tc>
        <w:tc>
          <w:tcPr>
            <w:tcW w:w="6360" w:type="dxa"/>
            <w:tcMar>
              <w:top w:w="0" w:type="dxa"/>
              <w:left w:w="105" w:type="dxa"/>
              <w:bottom w:w="0" w:type="dxa"/>
              <w:right w:w="105" w:type="dxa"/>
            </w:tcMar>
            <w:vAlign w:val="top"/>
          </w:tcPr>
          <w:p w14:paraId="78F21004">
            <w:pPr>
              <w:pStyle w:val="13"/>
              <w:jc w:val="both"/>
              <w:rPr>
                <w:rFonts w:hint="eastAsia" w:ascii="宋体" w:hAnsi="宋体" w:eastAsia="宋体" w:cs="宋体"/>
                <w:sz w:val="24"/>
                <w:szCs w:val="24"/>
              </w:rPr>
            </w:pPr>
            <w:r>
              <w:rPr>
                <w:rFonts w:hint="eastAsia" w:ascii="宋体" w:hAnsi="宋体" w:eastAsia="宋体" w:cs="宋体"/>
                <w:color w:val="000000"/>
                <w:sz w:val="24"/>
                <w:szCs w:val="24"/>
              </w:rPr>
              <w:t>具有相似品种/品牌特征，果面洁净，无机械伤、无腐烂、无异味、无病虫害。</w:t>
            </w:r>
          </w:p>
        </w:tc>
      </w:tr>
      <w:tr w14:paraId="1C92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Mar>
              <w:top w:w="0" w:type="dxa"/>
              <w:left w:w="105" w:type="dxa"/>
              <w:bottom w:w="0" w:type="dxa"/>
              <w:right w:w="105" w:type="dxa"/>
            </w:tcMar>
            <w:vAlign w:val="top"/>
          </w:tcPr>
          <w:p w14:paraId="3F41678C">
            <w:pPr>
              <w:pStyle w:val="13"/>
              <w:jc w:val="both"/>
              <w:rPr>
                <w:rFonts w:hint="eastAsia" w:ascii="宋体" w:hAnsi="宋体" w:eastAsia="宋体" w:cs="宋体"/>
                <w:sz w:val="24"/>
                <w:szCs w:val="24"/>
              </w:rPr>
            </w:pPr>
            <w:r>
              <w:rPr>
                <w:rFonts w:hint="eastAsia" w:ascii="宋体" w:hAnsi="宋体" w:eastAsia="宋体" w:cs="宋体"/>
                <w:color w:val="000000"/>
                <w:sz w:val="24"/>
                <w:szCs w:val="24"/>
              </w:rPr>
              <w:t>4</w:t>
            </w:r>
          </w:p>
        </w:tc>
        <w:tc>
          <w:tcPr>
            <w:tcW w:w="1261" w:type="dxa"/>
            <w:tcMar>
              <w:top w:w="0" w:type="dxa"/>
              <w:left w:w="105" w:type="dxa"/>
              <w:bottom w:w="0" w:type="dxa"/>
              <w:right w:w="105" w:type="dxa"/>
            </w:tcMar>
            <w:vAlign w:val="top"/>
          </w:tcPr>
          <w:p w14:paraId="47D76BB2">
            <w:pPr>
              <w:pStyle w:val="13"/>
              <w:jc w:val="both"/>
              <w:rPr>
                <w:rFonts w:hint="eastAsia" w:ascii="宋体" w:hAnsi="宋体" w:eastAsia="宋体" w:cs="宋体"/>
                <w:sz w:val="24"/>
                <w:szCs w:val="24"/>
              </w:rPr>
            </w:pPr>
            <w:r>
              <w:rPr>
                <w:rFonts w:hint="eastAsia" w:ascii="宋体" w:hAnsi="宋体" w:eastAsia="宋体" w:cs="宋体"/>
                <w:color w:val="000000"/>
                <w:sz w:val="24"/>
                <w:szCs w:val="24"/>
              </w:rPr>
              <w:t>菠萝</w:t>
            </w:r>
          </w:p>
        </w:tc>
        <w:tc>
          <w:tcPr>
            <w:tcW w:w="6360" w:type="dxa"/>
            <w:tcMar>
              <w:top w:w="0" w:type="dxa"/>
              <w:left w:w="105" w:type="dxa"/>
              <w:bottom w:w="0" w:type="dxa"/>
              <w:right w:w="105" w:type="dxa"/>
            </w:tcMar>
            <w:vAlign w:val="top"/>
          </w:tcPr>
          <w:p w14:paraId="259A58EC">
            <w:pPr>
              <w:pStyle w:val="13"/>
              <w:jc w:val="both"/>
              <w:rPr>
                <w:rFonts w:hint="eastAsia" w:ascii="宋体" w:hAnsi="宋体" w:eastAsia="宋体" w:cs="宋体"/>
                <w:sz w:val="24"/>
                <w:szCs w:val="24"/>
              </w:rPr>
            </w:pPr>
            <w:r>
              <w:rPr>
                <w:rFonts w:hint="eastAsia" w:ascii="宋体" w:hAnsi="宋体" w:eastAsia="宋体" w:cs="宋体"/>
                <w:color w:val="000000"/>
                <w:sz w:val="24"/>
                <w:szCs w:val="24"/>
              </w:rPr>
              <w:t>果形：果实端正，无影响外观的果瘤及瘤芽</w:t>
            </w:r>
          </w:p>
          <w:p w14:paraId="24126F3E">
            <w:pPr>
              <w:pStyle w:val="13"/>
              <w:jc w:val="both"/>
              <w:rPr>
                <w:rFonts w:hint="eastAsia" w:ascii="宋体" w:hAnsi="宋体" w:eastAsia="宋体" w:cs="宋体"/>
                <w:sz w:val="24"/>
                <w:szCs w:val="24"/>
              </w:rPr>
            </w:pPr>
            <w:r>
              <w:rPr>
                <w:rFonts w:hint="eastAsia" w:ascii="宋体" w:hAnsi="宋体" w:eastAsia="宋体" w:cs="宋体"/>
                <w:color w:val="000000"/>
                <w:sz w:val="24"/>
                <w:szCs w:val="24"/>
              </w:rPr>
              <w:t>果面：具有相似的品种/品牌特征，果眼发育良好，无裂口，果面洁净，无伤害.允许有不影响外观和贮藏质量的其它缺陷，但总面积不得超过果面总面积的2％</w:t>
            </w:r>
          </w:p>
          <w:p w14:paraId="4BFD06FF">
            <w:pPr>
              <w:pStyle w:val="13"/>
              <w:jc w:val="both"/>
              <w:rPr>
                <w:rFonts w:hint="eastAsia" w:ascii="宋体" w:hAnsi="宋体" w:eastAsia="宋体" w:cs="宋体"/>
                <w:sz w:val="24"/>
                <w:szCs w:val="24"/>
              </w:rPr>
            </w:pPr>
            <w:r>
              <w:rPr>
                <w:rFonts w:hint="eastAsia" w:ascii="宋体" w:hAnsi="宋体" w:eastAsia="宋体" w:cs="宋体"/>
                <w:color w:val="000000"/>
                <w:sz w:val="24"/>
                <w:szCs w:val="24"/>
              </w:rPr>
              <w:t>果肉：具有该品种/品牌特定的成熟度特征色泽和风味</w:t>
            </w:r>
          </w:p>
          <w:p w14:paraId="0E2AEAAD">
            <w:pPr>
              <w:pStyle w:val="13"/>
              <w:jc w:val="both"/>
              <w:rPr>
                <w:rFonts w:hint="eastAsia" w:ascii="宋体" w:hAnsi="宋体" w:eastAsia="宋体" w:cs="宋体"/>
                <w:sz w:val="24"/>
                <w:szCs w:val="24"/>
              </w:rPr>
            </w:pPr>
            <w:r>
              <w:rPr>
                <w:rFonts w:hint="eastAsia" w:ascii="宋体" w:hAnsi="宋体" w:eastAsia="宋体" w:cs="宋体"/>
                <w:color w:val="000000"/>
                <w:sz w:val="24"/>
                <w:szCs w:val="24"/>
              </w:rPr>
              <w:t>果柄：修整良好，切口干爽，无发霉或腐败现象，长度不超过2cm</w:t>
            </w:r>
          </w:p>
          <w:p w14:paraId="0A9E2AF1">
            <w:pPr>
              <w:pStyle w:val="13"/>
              <w:jc w:val="both"/>
              <w:rPr>
                <w:rFonts w:hint="eastAsia" w:ascii="宋体" w:hAnsi="宋体" w:eastAsia="宋体" w:cs="宋体"/>
                <w:sz w:val="24"/>
                <w:szCs w:val="24"/>
              </w:rPr>
            </w:pPr>
            <w:r>
              <w:rPr>
                <w:rFonts w:hint="eastAsia" w:ascii="宋体" w:hAnsi="宋体" w:eastAsia="宋体" w:cs="宋体"/>
                <w:color w:val="000000"/>
                <w:sz w:val="24"/>
                <w:szCs w:val="24"/>
              </w:rPr>
              <w:t>重量:</w:t>
            </w:r>
          </w:p>
        </w:tc>
      </w:tr>
      <w:tr w14:paraId="315F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Mar>
              <w:top w:w="0" w:type="dxa"/>
              <w:left w:w="105" w:type="dxa"/>
              <w:bottom w:w="0" w:type="dxa"/>
              <w:right w:w="105" w:type="dxa"/>
            </w:tcMar>
            <w:vAlign w:val="top"/>
          </w:tcPr>
          <w:p w14:paraId="71A329EB">
            <w:pPr>
              <w:pStyle w:val="13"/>
              <w:jc w:val="both"/>
              <w:rPr>
                <w:rFonts w:hint="eastAsia" w:ascii="宋体" w:hAnsi="宋体" w:eastAsia="宋体" w:cs="宋体"/>
                <w:sz w:val="24"/>
                <w:szCs w:val="24"/>
              </w:rPr>
            </w:pPr>
            <w:r>
              <w:rPr>
                <w:rFonts w:hint="eastAsia" w:ascii="宋体" w:hAnsi="宋体" w:eastAsia="宋体" w:cs="宋体"/>
                <w:color w:val="000000"/>
                <w:sz w:val="24"/>
                <w:szCs w:val="24"/>
              </w:rPr>
              <w:t>5</w:t>
            </w:r>
          </w:p>
        </w:tc>
        <w:tc>
          <w:tcPr>
            <w:tcW w:w="1261" w:type="dxa"/>
            <w:tcMar>
              <w:top w:w="0" w:type="dxa"/>
              <w:left w:w="105" w:type="dxa"/>
              <w:bottom w:w="0" w:type="dxa"/>
              <w:right w:w="105" w:type="dxa"/>
            </w:tcMar>
            <w:vAlign w:val="top"/>
          </w:tcPr>
          <w:p w14:paraId="13AE08CE">
            <w:pPr>
              <w:pStyle w:val="13"/>
              <w:jc w:val="both"/>
              <w:rPr>
                <w:rFonts w:hint="eastAsia" w:ascii="宋体" w:hAnsi="宋体" w:eastAsia="宋体" w:cs="宋体"/>
                <w:sz w:val="24"/>
                <w:szCs w:val="24"/>
              </w:rPr>
            </w:pPr>
            <w:r>
              <w:rPr>
                <w:rFonts w:hint="eastAsia" w:ascii="宋体" w:hAnsi="宋体" w:eastAsia="宋体" w:cs="宋体"/>
                <w:color w:val="000000"/>
                <w:sz w:val="24"/>
                <w:szCs w:val="24"/>
              </w:rPr>
              <w:t>杨桃</w:t>
            </w:r>
          </w:p>
        </w:tc>
        <w:tc>
          <w:tcPr>
            <w:tcW w:w="6360" w:type="dxa"/>
            <w:tcMar>
              <w:top w:w="0" w:type="dxa"/>
              <w:left w:w="105" w:type="dxa"/>
              <w:bottom w:w="0" w:type="dxa"/>
              <w:right w:w="105" w:type="dxa"/>
            </w:tcMar>
            <w:vAlign w:val="top"/>
          </w:tcPr>
          <w:p w14:paraId="6A4C2C0B">
            <w:pPr>
              <w:pStyle w:val="13"/>
              <w:jc w:val="both"/>
              <w:rPr>
                <w:rFonts w:hint="eastAsia" w:ascii="宋体" w:hAnsi="宋体" w:eastAsia="宋体" w:cs="宋体"/>
                <w:sz w:val="24"/>
                <w:szCs w:val="24"/>
              </w:rPr>
            </w:pPr>
            <w:r>
              <w:rPr>
                <w:rFonts w:hint="eastAsia" w:ascii="宋体" w:hAnsi="宋体" w:eastAsia="宋体" w:cs="宋体"/>
                <w:color w:val="000000"/>
                <w:sz w:val="24"/>
                <w:szCs w:val="24"/>
              </w:rPr>
              <w:t>具有该品种固有的特征.果形好,没有瑕疵，允许有不影响产品整体外观、质量、贮存性的极轻微的表皮缺陷</w:t>
            </w:r>
          </w:p>
          <w:p w14:paraId="25668166">
            <w:pPr>
              <w:pStyle w:val="13"/>
              <w:jc w:val="both"/>
              <w:rPr>
                <w:rFonts w:hint="eastAsia" w:ascii="宋体" w:hAnsi="宋体" w:eastAsia="宋体" w:cs="宋体"/>
                <w:sz w:val="24"/>
                <w:szCs w:val="24"/>
              </w:rPr>
            </w:pPr>
            <w:r>
              <w:rPr>
                <w:rFonts w:hint="eastAsia" w:ascii="宋体" w:hAnsi="宋体" w:eastAsia="宋体" w:cs="宋体"/>
                <w:color w:val="000000"/>
                <w:sz w:val="24"/>
                <w:szCs w:val="24"/>
              </w:rPr>
              <w:t>重量：</w:t>
            </w:r>
          </w:p>
        </w:tc>
      </w:tr>
      <w:tr w14:paraId="4392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Mar>
              <w:top w:w="0" w:type="dxa"/>
              <w:left w:w="105" w:type="dxa"/>
              <w:bottom w:w="0" w:type="dxa"/>
              <w:right w:w="105" w:type="dxa"/>
            </w:tcMar>
            <w:vAlign w:val="top"/>
          </w:tcPr>
          <w:p w14:paraId="19934575">
            <w:pPr>
              <w:pStyle w:val="13"/>
              <w:jc w:val="both"/>
              <w:rPr>
                <w:rFonts w:hint="eastAsia" w:ascii="宋体" w:hAnsi="宋体" w:eastAsia="宋体" w:cs="宋体"/>
                <w:sz w:val="24"/>
                <w:szCs w:val="24"/>
              </w:rPr>
            </w:pPr>
            <w:r>
              <w:rPr>
                <w:rFonts w:hint="eastAsia" w:ascii="宋体" w:hAnsi="宋体" w:eastAsia="宋体" w:cs="宋体"/>
                <w:color w:val="000000"/>
                <w:sz w:val="24"/>
                <w:szCs w:val="24"/>
              </w:rPr>
              <w:t>6</w:t>
            </w:r>
          </w:p>
        </w:tc>
        <w:tc>
          <w:tcPr>
            <w:tcW w:w="1261" w:type="dxa"/>
            <w:tcMar>
              <w:top w:w="0" w:type="dxa"/>
              <w:left w:w="105" w:type="dxa"/>
              <w:bottom w:w="0" w:type="dxa"/>
              <w:right w:w="105" w:type="dxa"/>
            </w:tcMar>
            <w:vAlign w:val="top"/>
          </w:tcPr>
          <w:p w14:paraId="1542F16E">
            <w:pPr>
              <w:pStyle w:val="13"/>
              <w:jc w:val="both"/>
              <w:rPr>
                <w:rFonts w:hint="eastAsia" w:ascii="宋体" w:hAnsi="宋体" w:eastAsia="宋体" w:cs="宋体"/>
                <w:sz w:val="24"/>
                <w:szCs w:val="24"/>
              </w:rPr>
            </w:pPr>
            <w:r>
              <w:rPr>
                <w:rFonts w:hint="eastAsia" w:ascii="宋体" w:hAnsi="宋体" w:eastAsia="宋体" w:cs="宋体"/>
                <w:color w:val="000000"/>
                <w:sz w:val="24"/>
                <w:szCs w:val="24"/>
              </w:rPr>
              <w:t>香橙</w:t>
            </w:r>
          </w:p>
        </w:tc>
        <w:tc>
          <w:tcPr>
            <w:tcW w:w="6360" w:type="dxa"/>
            <w:tcMar>
              <w:top w:w="0" w:type="dxa"/>
              <w:left w:w="105" w:type="dxa"/>
              <w:bottom w:w="0" w:type="dxa"/>
              <w:right w:w="105" w:type="dxa"/>
            </w:tcMar>
            <w:vAlign w:val="top"/>
          </w:tcPr>
          <w:p w14:paraId="5DB49284">
            <w:pPr>
              <w:pStyle w:val="13"/>
              <w:jc w:val="both"/>
              <w:rPr>
                <w:rFonts w:hint="eastAsia" w:ascii="宋体" w:hAnsi="宋体" w:eastAsia="宋体" w:cs="宋体"/>
                <w:sz w:val="24"/>
                <w:szCs w:val="24"/>
              </w:rPr>
            </w:pPr>
            <w:r>
              <w:rPr>
                <w:rFonts w:hint="eastAsia" w:ascii="宋体" w:hAnsi="宋体" w:eastAsia="宋体" w:cs="宋体"/>
                <w:color w:val="000000"/>
                <w:sz w:val="24"/>
                <w:szCs w:val="24"/>
              </w:rPr>
              <w:t>果形：果形端正</w:t>
            </w:r>
          </w:p>
          <w:p w14:paraId="221C4D5D">
            <w:pPr>
              <w:pStyle w:val="13"/>
              <w:jc w:val="both"/>
              <w:rPr>
                <w:rFonts w:hint="eastAsia" w:ascii="宋体" w:hAnsi="宋体" w:eastAsia="宋体" w:cs="宋体"/>
                <w:sz w:val="24"/>
                <w:szCs w:val="24"/>
              </w:rPr>
            </w:pPr>
            <w:r>
              <w:rPr>
                <w:rFonts w:hint="eastAsia" w:ascii="宋体" w:hAnsi="宋体" w:eastAsia="宋体" w:cs="宋体"/>
                <w:color w:val="000000"/>
                <w:sz w:val="24"/>
                <w:szCs w:val="24"/>
              </w:rPr>
              <w:t>色泽：橙红色或橙色，色泽均匀</w:t>
            </w:r>
          </w:p>
          <w:p w14:paraId="73751E63">
            <w:pPr>
              <w:pStyle w:val="13"/>
              <w:jc w:val="both"/>
              <w:rPr>
                <w:rFonts w:hint="eastAsia" w:ascii="宋体" w:hAnsi="宋体" w:eastAsia="宋体" w:cs="宋体"/>
                <w:sz w:val="24"/>
                <w:szCs w:val="24"/>
              </w:rPr>
            </w:pPr>
            <w:r>
              <w:rPr>
                <w:rFonts w:hint="eastAsia" w:ascii="宋体" w:hAnsi="宋体" w:eastAsia="宋体" w:cs="宋体"/>
                <w:color w:val="000000"/>
                <w:sz w:val="24"/>
                <w:szCs w:val="24"/>
              </w:rPr>
              <w:t>果面:果面光洁,无机械伤、日灼斑及锈壁虱危害斑，其他斑疤及药迹等附着物的面积全并计算不超过0。5cm2。最大斑块直径不超过0。2cm。</w:t>
            </w:r>
          </w:p>
        </w:tc>
      </w:tr>
      <w:tr w14:paraId="5586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Mar>
              <w:top w:w="0" w:type="dxa"/>
              <w:left w:w="105" w:type="dxa"/>
              <w:bottom w:w="0" w:type="dxa"/>
              <w:right w:w="105" w:type="dxa"/>
            </w:tcMar>
            <w:vAlign w:val="top"/>
          </w:tcPr>
          <w:p w14:paraId="7F0818D0">
            <w:pPr>
              <w:pStyle w:val="13"/>
              <w:jc w:val="both"/>
              <w:rPr>
                <w:rFonts w:hint="eastAsia" w:ascii="宋体" w:hAnsi="宋体" w:eastAsia="宋体" w:cs="宋体"/>
                <w:sz w:val="24"/>
                <w:szCs w:val="24"/>
              </w:rPr>
            </w:pPr>
            <w:r>
              <w:rPr>
                <w:rFonts w:hint="eastAsia" w:ascii="宋体" w:hAnsi="宋体" w:eastAsia="宋体" w:cs="宋体"/>
                <w:color w:val="000000"/>
                <w:sz w:val="24"/>
                <w:szCs w:val="24"/>
              </w:rPr>
              <w:t>7</w:t>
            </w:r>
          </w:p>
        </w:tc>
        <w:tc>
          <w:tcPr>
            <w:tcW w:w="1261" w:type="dxa"/>
            <w:tcMar>
              <w:top w:w="0" w:type="dxa"/>
              <w:left w:w="105" w:type="dxa"/>
              <w:bottom w:w="0" w:type="dxa"/>
              <w:right w:w="105" w:type="dxa"/>
            </w:tcMar>
            <w:vAlign w:val="top"/>
          </w:tcPr>
          <w:p w14:paraId="3041F2A5">
            <w:pPr>
              <w:pStyle w:val="13"/>
              <w:jc w:val="both"/>
              <w:rPr>
                <w:rFonts w:hint="eastAsia" w:ascii="宋体" w:hAnsi="宋体" w:eastAsia="宋体" w:cs="宋体"/>
                <w:sz w:val="24"/>
                <w:szCs w:val="24"/>
              </w:rPr>
            </w:pPr>
            <w:r>
              <w:rPr>
                <w:rFonts w:hint="eastAsia" w:ascii="宋体" w:hAnsi="宋体" w:eastAsia="宋体" w:cs="宋体"/>
                <w:color w:val="000000"/>
                <w:sz w:val="24"/>
                <w:szCs w:val="24"/>
              </w:rPr>
              <w:t>草莓</w:t>
            </w:r>
          </w:p>
        </w:tc>
        <w:tc>
          <w:tcPr>
            <w:tcW w:w="6360" w:type="dxa"/>
            <w:tcMar>
              <w:top w:w="0" w:type="dxa"/>
              <w:left w:w="105" w:type="dxa"/>
              <w:bottom w:w="0" w:type="dxa"/>
              <w:right w:w="105" w:type="dxa"/>
            </w:tcMar>
            <w:vAlign w:val="top"/>
          </w:tcPr>
          <w:p w14:paraId="011863B2">
            <w:pPr>
              <w:pStyle w:val="13"/>
              <w:jc w:val="both"/>
              <w:rPr>
                <w:rFonts w:hint="eastAsia" w:ascii="宋体" w:hAnsi="宋体" w:eastAsia="宋体" w:cs="宋体"/>
                <w:sz w:val="24"/>
                <w:szCs w:val="24"/>
              </w:rPr>
            </w:pPr>
            <w:r>
              <w:rPr>
                <w:rFonts w:hint="eastAsia" w:ascii="宋体" w:hAnsi="宋体" w:eastAsia="宋体" w:cs="宋体"/>
                <w:color w:val="000000"/>
                <w:sz w:val="24"/>
                <w:szCs w:val="24"/>
              </w:rPr>
              <w:t>外观：果实新鲜洁净，无异味，有本品种特有的香气,无不正常外来水分,带新鲜萼片,具有适于市场或贮藏要求的成熟度</w:t>
            </w:r>
          </w:p>
          <w:p w14:paraId="47A2F7EA">
            <w:pPr>
              <w:pStyle w:val="13"/>
              <w:jc w:val="both"/>
              <w:rPr>
                <w:rFonts w:hint="eastAsia" w:ascii="宋体" w:hAnsi="宋体" w:eastAsia="宋体" w:cs="宋体"/>
                <w:sz w:val="24"/>
                <w:szCs w:val="24"/>
              </w:rPr>
            </w:pPr>
            <w:r>
              <w:rPr>
                <w:rFonts w:hint="eastAsia" w:ascii="宋体" w:hAnsi="宋体" w:eastAsia="宋体" w:cs="宋体"/>
                <w:color w:val="000000"/>
                <w:sz w:val="24"/>
                <w:szCs w:val="24"/>
              </w:rPr>
              <w:t>果形及色泽：果实应具基本品种的形态特征，颜色特征及光泽，且同一品种，同一等级不同果实之间形状、色泽均匀一致。</w:t>
            </w:r>
          </w:p>
          <w:p w14:paraId="03406443">
            <w:pPr>
              <w:pStyle w:val="13"/>
              <w:jc w:val="both"/>
              <w:rPr>
                <w:rFonts w:hint="eastAsia" w:ascii="宋体" w:hAnsi="宋体" w:eastAsia="宋体" w:cs="宋体"/>
                <w:sz w:val="24"/>
                <w:szCs w:val="24"/>
              </w:rPr>
            </w:pPr>
            <w:r>
              <w:rPr>
                <w:rFonts w:hint="eastAsia" w:ascii="宋体" w:hAnsi="宋体" w:eastAsia="宋体" w:cs="宋体"/>
                <w:color w:val="000000"/>
                <w:sz w:val="24"/>
                <w:szCs w:val="24"/>
              </w:rPr>
              <w:t>果实着色度≥70%</w:t>
            </w:r>
          </w:p>
          <w:p w14:paraId="2676655F">
            <w:pPr>
              <w:pStyle w:val="13"/>
              <w:jc w:val="both"/>
              <w:rPr>
                <w:rFonts w:hint="eastAsia" w:ascii="宋体" w:hAnsi="宋体" w:eastAsia="宋体" w:cs="宋体"/>
                <w:sz w:val="24"/>
                <w:szCs w:val="24"/>
              </w:rPr>
            </w:pPr>
            <w:r>
              <w:rPr>
                <w:rFonts w:hint="eastAsia" w:ascii="宋体" w:hAnsi="宋体" w:eastAsia="宋体" w:cs="宋体"/>
                <w:color w:val="000000"/>
                <w:sz w:val="24"/>
                <w:szCs w:val="24"/>
              </w:rPr>
              <w:t>碰压伤:无明显碰压伤，无汁液浸出</w:t>
            </w:r>
          </w:p>
          <w:p w14:paraId="1CC3FCFD">
            <w:pPr>
              <w:pStyle w:val="13"/>
              <w:jc w:val="both"/>
              <w:rPr>
                <w:rFonts w:hint="eastAsia" w:ascii="宋体" w:hAnsi="宋体" w:eastAsia="宋体" w:cs="宋体"/>
                <w:sz w:val="24"/>
                <w:szCs w:val="24"/>
              </w:rPr>
            </w:pPr>
            <w:r>
              <w:rPr>
                <w:rFonts w:hint="eastAsia" w:ascii="宋体" w:hAnsi="宋体" w:eastAsia="宋体" w:cs="宋体"/>
                <w:color w:val="000000"/>
                <w:sz w:val="24"/>
                <w:szCs w:val="24"/>
              </w:rPr>
              <w:t>畸形果实≤1％</w:t>
            </w:r>
          </w:p>
        </w:tc>
      </w:tr>
      <w:tr w14:paraId="7776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Mar>
              <w:top w:w="0" w:type="dxa"/>
              <w:left w:w="105" w:type="dxa"/>
              <w:bottom w:w="0" w:type="dxa"/>
              <w:right w:w="105" w:type="dxa"/>
            </w:tcMar>
            <w:vAlign w:val="top"/>
          </w:tcPr>
          <w:p w14:paraId="0B5EEC66">
            <w:pPr>
              <w:pStyle w:val="13"/>
              <w:jc w:val="both"/>
              <w:rPr>
                <w:rFonts w:hint="eastAsia" w:ascii="宋体" w:hAnsi="宋体" w:eastAsia="宋体" w:cs="宋体"/>
                <w:sz w:val="24"/>
                <w:szCs w:val="24"/>
              </w:rPr>
            </w:pPr>
            <w:r>
              <w:rPr>
                <w:rFonts w:hint="eastAsia" w:ascii="宋体" w:hAnsi="宋体" w:eastAsia="宋体" w:cs="宋体"/>
                <w:color w:val="000000"/>
                <w:sz w:val="24"/>
                <w:szCs w:val="24"/>
              </w:rPr>
              <w:t>8</w:t>
            </w:r>
          </w:p>
        </w:tc>
        <w:tc>
          <w:tcPr>
            <w:tcW w:w="1261" w:type="dxa"/>
            <w:tcMar>
              <w:top w:w="0" w:type="dxa"/>
              <w:left w:w="105" w:type="dxa"/>
              <w:bottom w:w="0" w:type="dxa"/>
              <w:right w:w="105" w:type="dxa"/>
            </w:tcMar>
            <w:vAlign w:val="top"/>
          </w:tcPr>
          <w:p w14:paraId="51E1F668">
            <w:pPr>
              <w:pStyle w:val="13"/>
              <w:jc w:val="both"/>
              <w:rPr>
                <w:rFonts w:hint="eastAsia" w:ascii="宋体" w:hAnsi="宋体" w:eastAsia="宋体" w:cs="宋体"/>
                <w:sz w:val="24"/>
                <w:szCs w:val="24"/>
              </w:rPr>
            </w:pPr>
            <w:r>
              <w:rPr>
                <w:rFonts w:hint="eastAsia" w:ascii="宋体" w:hAnsi="宋体" w:eastAsia="宋体" w:cs="宋体"/>
                <w:color w:val="000000"/>
                <w:sz w:val="24"/>
                <w:szCs w:val="24"/>
              </w:rPr>
              <w:t>芒果</w:t>
            </w:r>
          </w:p>
        </w:tc>
        <w:tc>
          <w:tcPr>
            <w:tcW w:w="6360" w:type="dxa"/>
            <w:tcMar>
              <w:top w:w="0" w:type="dxa"/>
              <w:left w:w="105" w:type="dxa"/>
              <w:bottom w:w="0" w:type="dxa"/>
              <w:right w:w="105" w:type="dxa"/>
            </w:tcMar>
            <w:vAlign w:val="top"/>
          </w:tcPr>
          <w:p w14:paraId="7FE156D6">
            <w:pPr>
              <w:pStyle w:val="13"/>
              <w:jc w:val="both"/>
              <w:rPr>
                <w:rFonts w:hint="eastAsia" w:ascii="宋体" w:hAnsi="宋体" w:eastAsia="宋体" w:cs="宋体"/>
                <w:sz w:val="24"/>
                <w:szCs w:val="24"/>
              </w:rPr>
            </w:pPr>
            <w:r>
              <w:rPr>
                <w:rFonts w:hint="eastAsia" w:ascii="宋体" w:hAnsi="宋体" w:eastAsia="宋体" w:cs="宋体"/>
                <w:color w:val="000000"/>
                <w:sz w:val="24"/>
                <w:szCs w:val="24"/>
              </w:rPr>
              <w:t>1、具有该品种固有的特征。果实应无缺陷，但允许有不影响产品总体外观、质量、贮存性的很轻微的表面疵点。</w:t>
            </w:r>
          </w:p>
        </w:tc>
      </w:tr>
    </w:tbl>
    <w:p w14:paraId="419EE699">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2.供应和管理要求</w:t>
      </w:r>
    </w:p>
    <w:p w14:paraId="3908D29A">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 所有水果须符合“中华人民共和国食品安全法”要求,符合国家行业生产及经营标准，保证新鲜、无异味、无霉烂变质。</w:t>
      </w:r>
    </w:p>
    <w:p w14:paraId="22DA2320">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 所有水果须保证食用安全，绝无农药等有害物质的留存。</w:t>
      </w:r>
    </w:p>
    <w:p w14:paraId="4FD25228">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 所有水果在交付采购人前须经过前期处理，使用率达到95%以上。</w:t>
      </w:r>
    </w:p>
    <w:p w14:paraId="59C1AF2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 中标人须清晰地列出产品品牌、名称、制造商名称和厂址、型号、生产日期和保质期限、包装类型、包装方式、包装净重量等相关参数。包装：容器(框、箱、袋)要求清洁、干燥、牢固、透，无污染、无异味、无霉变现象。严禁采购有害、有毒、腐烂变质、酸败、霉变、生虫、污垢不洁、混有异物或其他感官性状异常的食品。</w:t>
      </w:r>
    </w:p>
    <w:p w14:paraId="190A0DA9">
      <w:pPr>
        <w:pStyle w:val="13"/>
        <w:spacing w:line="360" w:lineRule="auto"/>
        <w:ind w:firstLine="480" w:firstLineChars="200"/>
      </w:pPr>
      <w:r>
        <w:rPr>
          <w:rFonts w:hint="eastAsia" w:ascii="宋体" w:hAnsi="宋体" w:eastAsia="宋体" w:cs="宋体"/>
          <w:color w:val="000000"/>
          <w:sz w:val="24"/>
          <w:szCs w:val="24"/>
        </w:rPr>
        <w:t>2.5 食品应清洁，并符合企业验收标准；食品应无损伤、腐烂现象，无寄生虫或已受虫害现象；对温度有要求的食品应确定食品的温度与包装上指示温度一致。</w:t>
      </w:r>
    </w:p>
    <w:p w14:paraId="388DE510">
      <w:pPr>
        <w:pStyle w:val="13"/>
        <w:spacing w:line="360" w:lineRule="auto"/>
        <w:jc w:val="both"/>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三、货物包装要求</w:t>
      </w:r>
    </w:p>
    <w:p w14:paraId="2EF9EF0A">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（一）中标人应保证货品均为正规生产的新鲜、检验合格货品，符合国家有关卫生、质量、包装和保质标准。</w:t>
      </w:r>
    </w:p>
    <w:p w14:paraId="5E116AB5">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包装、容器（框、箱、袋）要求：清洁、干燥、牢固、透气，无污染、无异味、无霉变现象。采购的食品不得存放在有害、有毒的容器内。食品包装上必须使用原产地标识，应注明：制造商名称和厂址、食品名称和重（容）量、生产日期和保质期限以及规格等。</w:t>
      </w:r>
    </w:p>
    <w:p w14:paraId="39E295A0">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（三）包装必须按《农产品包装和标识管理办法》贴标签，并标明产地、品种、净含量、生产单位及地址和采收日期。</w:t>
      </w:r>
    </w:p>
    <w:p w14:paraId="0BE542E0">
      <w:pPr>
        <w:pStyle w:val="13"/>
        <w:spacing w:line="360" w:lineRule="auto"/>
        <w:jc w:val="both"/>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四、配送管理要求</w:t>
      </w:r>
    </w:p>
    <w:p w14:paraId="0624AC48">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（一）本次配送服务采购主要为早、午、晚餐供应，采购人膳食安排时间一般为全年（含节假日），如有特殊工作安排，按采购人安排执行。</w:t>
      </w:r>
    </w:p>
    <w:p w14:paraId="460827C3">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（二）中标人应至少安排1辆以上车辆负责送货及安排专职送货员，负责货物的运输、过秤，并协助采购人抽验货品，货品的品种和重量以采购人抽验的结果为准。</w:t>
      </w:r>
    </w:p>
    <w:p w14:paraId="42629C2C">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中标人必须遵守国家规定的卫生管理条例，严格执行《食品安全法》，必须保证所供应肉类、干货、蔬菜、果品、主食及其它副食品等为新鲜、保质期内，且符合卫生标准；若发现所供应的食品存在腐烂变质、过期等质量问题的，应当全部收回并销毁，立即采取补救措施重新供应配送。</w:t>
      </w:r>
    </w:p>
    <w:p w14:paraId="1FCAB08E">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中标人除不可抗力外，不得因其他任何理由延迟送货。因中标人原因延误交货日期的（采购人要求推迟的除外），采购人使用单位有权自行采购，并由中标人承担由此产生的一切损失和费用，具体赔偿标准的要求，将由双方在合同中合理约定。</w:t>
      </w:r>
    </w:p>
    <w:p w14:paraId="11A98916">
      <w:pPr>
        <w:pStyle w:val="13"/>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（五）食品溯源要求。中标人对食品供应链进行明确，所有食品的来源必须清晰，尽量使用驰名品牌。</w:t>
      </w:r>
    </w:p>
    <w:p w14:paraId="33B1EF4F">
      <w:pPr>
        <w:pStyle w:val="13"/>
        <w:spacing w:line="360" w:lineRule="auto"/>
        <w:jc w:val="both"/>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五、配送运输要求</w:t>
      </w:r>
    </w:p>
    <w:p w14:paraId="3F82A6BF">
      <w:pPr>
        <w:pStyle w:val="13"/>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color w:val="000000"/>
          <w:sz w:val="24"/>
          <w:szCs w:val="24"/>
          <w:u w:val="single"/>
        </w:rPr>
        <w:t>运输要求：</w:t>
      </w:r>
    </w:p>
    <w:p w14:paraId="7EE32C70">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（一）所有货物运输必须采用符合卫生标准的外包装和运载工具，并且要保持清洁和定期消毒。运输车厢的内仓，包括地面、墙面和顶，应使用抗腐蚀、防潮，易清洁消毒的材料，车厢内无不良气味、异味。</w:t>
      </w:r>
    </w:p>
    <w:p w14:paraId="597FF0B0">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冷藏、冷冻食品必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w:t>
      </w:r>
    </w:p>
    <w:p w14:paraId="1E511F80">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（三）送货车辆应保持清洁：食品堆放科学合理，避免造成食品的交叉污染；如对温度有要求的食品应确定食品的温度，记录送货车辆温度，并记录存档。</w:t>
      </w:r>
    </w:p>
    <w:p w14:paraId="117B77A5">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送货车辆实行一小时配送圈运作，目的地在一小时内的用保温车配送，一小时以外的用制冷车配送，保证运输过程冷链不中断。保证冷冻肉类中心温度控制在-2-7℃的范围之内，保证运输过程冷链不中断。商品到达目的地时外包装箱干爽,无软化现象。</w:t>
      </w:r>
    </w:p>
    <w:p w14:paraId="07D17F21">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（五）在配送卸货环节中应保证冷藏食品脱离冷链时间不得超过20分钟。</w:t>
      </w:r>
    </w:p>
    <w:p w14:paraId="06ED320C">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（六）抽查发现食品安全质量问题的处理：</w:t>
      </w:r>
    </w:p>
    <w:p w14:paraId="7DA22E40">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抽查检测过程中，如发现中标人所配送的肉类、干货、蔬菜、果品、主食及其它副食品等出现变质变味、过期；蔬菜瓜果类的农药含量超标、肉制品无检验标志、干货有发霉或添加剂超标、家禽鱼类有病毒危害，采购人有权拒收，并视情况追究法律及经济责任。对危及人身安全的食品质量问题采取零容忍措施，一经发现，当日所送同批次产品全部退货，中标人按食堂规定时间，要求的数量、质量、规格重新送货。</w:t>
      </w:r>
    </w:p>
    <w:p w14:paraId="1B85ED67">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2.若抽查未发现问题，而在加工食用前发现部分产品质量问题，采购人有权将问题产品退货处理。</w:t>
      </w:r>
    </w:p>
    <w:p w14:paraId="152F9867">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（七）采购人发现货物出现损坏（包括表面损坏），或出现水渍、变味、受潮等导致货物性质改变的，中标人必须无条件退货或更换商品，并承担相应损失。</w:t>
      </w:r>
    </w:p>
    <w:p w14:paraId="3A995954">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（八）对采购人临时的供货要求，需随订随送，至少在1个小时内送到。</w:t>
      </w:r>
    </w:p>
    <w:p w14:paraId="4A925EBE">
      <w:pPr>
        <w:pStyle w:val="13"/>
        <w:spacing w:line="360" w:lineRule="auto"/>
        <w:ind w:firstLine="422"/>
        <w:rPr>
          <w:rFonts w:hint="eastAsia" w:ascii="宋体" w:hAnsi="宋体" w:eastAsia="宋体" w:cs="宋体"/>
          <w:sz w:val="24"/>
          <w:szCs w:val="24"/>
        </w:rPr>
      </w:pPr>
      <w:r>
        <w:rPr>
          <w:rFonts w:hint="eastAsia" w:ascii="宋体" w:hAnsi="宋体" w:eastAsia="宋体" w:cs="宋体"/>
          <w:b/>
          <w:color w:val="000000"/>
          <w:sz w:val="24"/>
          <w:szCs w:val="24"/>
          <w:u w:val="single"/>
        </w:rPr>
        <w:t>配送要求：</w:t>
      </w:r>
    </w:p>
    <w:p w14:paraId="36C83881">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采购人提前一天以邮件、传真、电话或双方认可的即时通讯软件方式向中标人下订单，订单内容包括所要采购的名称、规格、数量、价格等。物品具体需求量以实际供应前一天通知的为准。配送次数和配送量由采购人和中标人在签订合同时具体协商。如采购人临时取消配送，采购人应提前1天通知中标人停止送货。</w:t>
      </w:r>
    </w:p>
    <w:p w14:paraId="46E1666A">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中标人须在接到采购人订单之日的第二天按时将采购人所订购的货物材料送至采购人指定的地点。若采购人临时修改订单内容的，中标人必须在接到通知后的1小时内将货物材料送达，经采购人工作人员验收核对后才算完成。中标人随货提供注明货物名称、单位、数量、售价及总金额的商品送货清单，作为采购人入库验收之凭证。</w:t>
      </w:r>
    </w:p>
    <w:p w14:paraId="570C27F9">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采购人如遇特殊情况需推迟送货，应提前通知中标人。除客观不可抗力外，中标人不得推迟送货。如确需延迟送货的，中标人应在得知情况的同时告知采购人并征得采购人同意，由于中标人拖沓造成采购人利益受损的，采购人有权要求中标人赔偿，出现3次上述情况的，采购人有权取消其配送资格。因中标人原因延误交货日期的（采购人要求推迟的除外），采购人有权自行采购，并由中标人承担由此产生的一切损失和费用，同时将对中标人进行罚款。扣罚细则由采购人和中标人在签订合同时具体协商。</w:t>
      </w:r>
    </w:p>
    <w:p w14:paraId="3548A558">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（四）中标人须负责所订货物的运输、搬运等工作，所产生的费用由中标人负责。</w:t>
      </w:r>
    </w:p>
    <w:p w14:paraId="731970BB">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（五）每次送货，中标人须安排不少于2名专职送货员及不少于1辆专车负责送货。负责货物的运输、过秤，并协助采购人验收货物，货物的品种和重量以采购人验收的结果为准。</w:t>
      </w:r>
    </w:p>
    <w:p w14:paraId="58E6741D">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（六）在采购人未签收之前，货物的所有权和风险属于中标人，货物发生遗失、损坏由中标人负责。</w:t>
      </w:r>
    </w:p>
    <w:p w14:paraId="5A949EA9">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（七）中标人不得随意增减货物数量、降低货物品质，否则，采购人有权拒收。如因市场流通问题确实需要变更的，应事先书面申请，并经采购人同意后方可变更。</w:t>
      </w:r>
    </w:p>
    <w:p w14:paraId="3D9EAE33">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（八）中标人的送货单须详细注明商品的品牌、型号、单价、数量，送货单不得涂改。标记不清的，采购人将拒绝签收。结算期末中标人还应提供送货清单供采购人进行核算。</w:t>
      </w:r>
    </w:p>
    <w:p w14:paraId="3C03D43F">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（九）中标人指定的送货专员须穿着便于辨认的工衣和配戴胸卡，送货专员在办公区域活动必须严格遵守采购人各项规章制度，不得做出有损采购人形象和利益的事情。</w:t>
      </w:r>
    </w:p>
    <w:p w14:paraId="6981C8B6">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（十）送货车辆在办公区域内应主动避让办公区人员，如属中标人车辆责任造成办公区域人员事故、物品受损的一切责任由中标人承担。</w:t>
      </w:r>
    </w:p>
    <w:p w14:paraId="6A248DFA">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（十一）数量方面要求：保证配送品种斤两的准确性，以采购人的验货数量为准，中标人每次随货送上一式两份的送货清单，供双方验货后签字确认，双方各持一份，作为送、收货的凭证。</w:t>
      </w:r>
    </w:p>
    <w:p w14:paraId="097EBEC5">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（十二）食品运输必须采用符合卫生标准的外包装和运载工具，并且要保持清洁和定期消毒。运输车厢的内仓，包括地面、墙面和顶，应使用抗腐蚀、防潮，易清洁消毒的材料。车厢内无不良气味、异味。</w:t>
      </w:r>
    </w:p>
    <w:p w14:paraId="244EEF32">
      <w:pPr>
        <w:pStyle w:val="13"/>
        <w:spacing w:line="360" w:lineRule="auto"/>
        <w:jc w:val="both"/>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六、货物验收</w:t>
      </w:r>
    </w:p>
    <w:p w14:paraId="46E08D41">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（一）检验流程</w:t>
      </w:r>
    </w:p>
    <w:p w14:paraId="1F09150B">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1.采购人卸货前对场地和验收设备做好准备，并对商品的外观质量进行初步了解。</w:t>
      </w:r>
    </w:p>
    <w:p w14:paraId="5CA5E612">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2.采取当场验收的方式，采购人按索证→过磅→入库的程序完成验收，中标人可提供原件的留原件，原件只有一份而无法提供给采购人的查验原件后索取复印件留存。</w:t>
      </w:r>
    </w:p>
    <w:p w14:paraId="06DBA783">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3.每批次每种货物均抽查验收。</w:t>
      </w:r>
    </w:p>
    <w:p w14:paraId="0EE1FF9C">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采购人按招标文件产品质量要求对货物质量进行抽查，比对相关文件，以确保食品品种符合要求。如发现食品有损坏的情况，在相关单据上记录所有损坏情况。对货物损坏情况进行拍照并存档。对于食品验收的全部过程和信息数据，采购人安排的具体验收人员和中标人人员一起确认，并保留双方签字单据。</w:t>
      </w:r>
    </w:p>
    <w:p w14:paraId="059C82E9">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（二）退（补）货流程：对不符合质量要求的食品由采购人安排的具体验收人员提出清退，中标人必须按食堂规定的时间，要求的数量、质量、规格重新送货。</w:t>
      </w:r>
    </w:p>
    <w:p w14:paraId="7CC6C103">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验收记录，每次采购的食品都要登记记录，注明名称、数量等事项并在采购登记记录上签明意见和采购人安排的具体验收人员的名字及日期。验收完毕后，双方必须在货物收货清单上确认签名，货物收货清单作为采购人支付货款的依据之一。</w:t>
      </w:r>
    </w:p>
    <w:p w14:paraId="303EE776">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（四）退换货范围</w:t>
      </w:r>
    </w:p>
    <w:p w14:paraId="1134EB1E">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验收发现食品安全有质量、数量、规格问题的处理：对危及人身安全的食品质量问题采取零容忍措施，如发现腐败变质异味、污染变质等，一经发现，当日所送同批次产品全部退货。送货数量与订单不符时：多送部分原则上采购人不收货，少送部分必须在1小时内补货送到。</w:t>
      </w:r>
    </w:p>
    <w:p w14:paraId="29AAB6AD">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畜禽冻肉类整批产品无政府部门出具的动植物检疫合格证明的食品全部退货，并按食堂的要求按时重新配送。</w:t>
      </w:r>
    </w:p>
    <w:p w14:paraId="3EB84609">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食材在质保期内，非采购人的人为原因而出现的产品质量问题，由中标人负责包退或包换，并承担因此产生的一切费用。</w:t>
      </w:r>
    </w:p>
    <w:p w14:paraId="710615ED">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w:t>
      </w:r>
      <w:r>
        <w:rPr>
          <w:rFonts w:hint="eastAsia" w:ascii="宋体" w:hAnsi="宋体" w:eastAsia="宋体" w:cs="宋体"/>
          <w:sz w:val="24"/>
          <w:szCs w:val="24"/>
        </w:rPr>
        <w:t>退换响应时间</w:t>
      </w:r>
    </w:p>
    <w:p w14:paraId="0E59E91F">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采购人向中标人提出退货要求的，中标人应于24小时内完成货物回收；采购人向中标人提出换货要求的，中标人应于1小时内完成货物更换。</w:t>
      </w:r>
    </w:p>
    <w:p w14:paraId="65CEA3DD">
      <w:pPr>
        <w:pStyle w:val="13"/>
        <w:spacing w:line="360" w:lineRule="auto"/>
        <w:jc w:val="both"/>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七、其他要求</w:t>
      </w:r>
    </w:p>
    <w:p w14:paraId="679D658D">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（一）在任何情况下，采购人不保证中标人在服务期内的供货量，请自行考虑风险。</w:t>
      </w:r>
    </w:p>
    <w:p w14:paraId="582421D8">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（二）中标人提供假冒伪劣、过期、变质的、有毒食品的，一经发现，除按采购人要求无条件退货或换货外，还将受到处罚。</w:t>
      </w:r>
    </w:p>
    <w:p w14:paraId="0361B62A">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（三）中标人应能够配合采购人及时更新所提供的符合监管部门的有效证明材料。如有效的营业执照、产品合格证、食品卫生许可证等。</w:t>
      </w:r>
    </w:p>
    <w:p w14:paraId="5B7CCBD6">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中标人在实施货物供货期间，不得将供货的实际数量及供货地点泄露给其他企业或者个人，中标人必须指派相对固定的人员完成货物配送服务，并需将配送人员的详细资料报采购人备案，货物配送人员必须遵纪守法、品行良好。如需要更换配送人员，必须事先通知采购人并将其个人资料送采购人审批，审批合格者才能更换。</w:t>
      </w:r>
    </w:p>
    <w:p w14:paraId="4AB1AD3F">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（五）报价要求：</w:t>
      </w:r>
    </w:p>
    <w:p w14:paraId="01CEF8D7">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1.投标人报价均包含货物加工、检测、包装、仓储、送货、人工、车辆运输、所有税费、质保期保障等一切费用。</w:t>
      </w:r>
    </w:p>
    <w:p w14:paraId="1BFBAD54">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本项目以下浮率（优惠率）的形式进行报价，如投标人报价为下浮率（优惠率）10%，则实际供应价=基准价*（1-10%）。投标下浮率（优惠率）应在0%-100%范围内，且投标下浮率（优惠率）是固定唯一的，不接受区间下浮率（优惠率）报价形式，如下浮率（优惠率）为10%-20%。</w:t>
      </w:r>
    </w:p>
    <w:p w14:paraId="03F59E31">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（六）在项目实施期间，若区相关部门有统一的政策要求，如签订的合同内容与最新的政策要求有违背的，则合同终止，中标人应无条件服从并积极配合采购人。</w:t>
      </w:r>
    </w:p>
    <w:p w14:paraId="56EAAC42">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（七）中标人不得将该项目转包、分包给第三方实施，否则视为违约，采购方可终止本次服务采购。</w:t>
      </w:r>
    </w:p>
    <w:p w14:paraId="4389A6BA">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（八）投标人需在投标文件中提供本项目的配送服务方案（包括但不限于：采购渠道、供货保障、日常管理组织、专人跟踪服务情况、售后服务方案等）</w:t>
      </w:r>
    </w:p>
    <w:p w14:paraId="51ABCB9B">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（九）投标人需根据本项目的服务过程中可能出现的突发，提供详细的应急方案，确保采购人饭堂正常运营。同时提供货物质量保证措施及方案。</w:t>
      </w:r>
    </w:p>
    <w:p w14:paraId="7BBAAA4B">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十）为保证食品的安全，投标人需具备一定的自行检测能力，需拥有自主检测实验室，且配置相关检测设备的：包括但不限于农药残留检测仪、农产品多功能检测仪、莱克多巴胺检测仪、食品添加剂检测仪、食品重金属检测仪、瘦肉精检测仪、食品安全检测仪、肉类水分检测仪、非洲猪瘟检测仪、多功能水质检测仪。</w:t>
      </w:r>
    </w:p>
    <w:p w14:paraId="5AC18DB7">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（十一）为提升投标人应对风险能力，有效保障采购人的权益，投标人现有购买或承诺将来中标后签合同前购买食品安全责任险。且保险金额不低于2000万元，每次事故赔偿不低于300万元。</w:t>
      </w:r>
    </w:p>
    <w:p w14:paraId="28F3EB81">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（十二）为确保食材质量，投标人应具备食材仓储冷库（含冷冻和冷藏）设施。</w:t>
      </w:r>
    </w:p>
    <w:p w14:paraId="6D618FA5">
      <w:pPr>
        <w:pStyle w:val="13"/>
        <w:spacing w:line="360" w:lineRule="auto"/>
        <w:jc w:val="both"/>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八、定价方式</w:t>
      </w:r>
    </w:p>
    <w:p w14:paraId="1900C416">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（一）本项目以下浮率（优惠率）的形式进行报价，所有食材价格均以广州市菜篮子平均零售价格（广州市价格监测预警系统网站[价格查询路径：广州市发展和改革委员会网站（http://fgw.gz.gov.cn/ ）→广州菜篮子价格→全市菜篮子平均零售价]）公布的正常零售品种价格为基础（如遇特价商品，按原零售价为准）。网站没有公布的食品价格，则以广州市杨箕肉菜市场同.档次的零售价格为基准价。</w:t>
      </w:r>
    </w:p>
    <w:p w14:paraId="1E793102">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定价时间：每月定价一次，以结算当月第一次公布上述网站公布的时间为定价时间。若市场调查中，对没有调查到的食品种类，中标人在当月第一次供货时，需提供周边其他市场同类的货物价格进行比较，最终的供货价格经采购人同意后作为当月供货的基准价。</w:t>
      </w:r>
    </w:p>
    <w:p w14:paraId="5C091FBE">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（三）当月结算价：每个产品货款（小数点后保留两位小数）=基准价×（1-中标下浮率（优惠率））×当月实际供货量。其中，合同执行期内，中标下浮率（优惠率）不能调整。</w:t>
      </w:r>
    </w:p>
    <w:p w14:paraId="1B6DB335">
      <w:pPr>
        <w:pStyle w:val="13"/>
        <w:spacing w:line="360" w:lineRule="auto"/>
        <w:jc w:val="both"/>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九、扶贫特别规定</w:t>
      </w:r>
    </w:p>
    <w:p w14:paraId="62C9384E">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为响应国家扶贫政策，中标人需承诺通过贫困地区农副产品网络销售平台（即“国家832扶贫平台”）购买贫困地区农副产品，具体数量、金额需与采购人协商。此部分商品按平台购货价凭证结算。</w:t>
      </w:r>
    </w:p>
    <w:p w14:paraId="0BC975C4">
      <w:pPr>
        <w:pStyle w:val="13"/>
        <w:spacing w:line="360" w:lineRule="auto"/>
        <w:jc w:val="both"/>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十、考核要求</w:t>
      </w:r>
    </w:p>
    <w:p w14:paraId="0FB8BA9A">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与中标人签订供货合同后从配送之日起，考核时间为1个月进行一次，主要考核其价格合理性、服务及时性、货品质量稳定性等。如考核结果60分及以上的，只记录成绩作为下个月度配送资格考评依据，不扣除当月总货款；如考核结果为不合格（60分以下）的扣除当月总货款的50%；如连续出现两次考核结果为不合格的，采购人有权上报监管部门，由监管部门取消其中标资格，并由中标人承担由此产生的一切损失和费用。具体考核标准见附件。</w:t>
      </w:r>
    </w:p>
    <w:p w14:paraId="06594F18">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2.对明显低于市场价格的中标单位，在实际供货中质量不符合要求的，采购人有权上报监管部门，由监管部门取消其中标资格，且不承担任何法律和经济责任。</w:t>
      </w:r>
    </w:p>
    <w:p w14:paraId="1751E251">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3.供货商供货中出现伪劣，质次原料，除退换货外，并处以相应的经济罚款，如查实后属有意行为的，即暂停进货并冻结资金支付，如出现危及安全的质量问题，按造成的后果严重程度处理，直至追究法律责任。</w:t>
      </w:r>
    </w:p>
    <w:p w14:paraId="746CADFA">
      <w:pPr>
        <w:pStyle w:val="13"/>
        <w:spacing w:line="360" w:lineRule="auto"/>
        <w:jc w:val="both"/>
        <w:rPr>
          <w:rFonts w:hint="eastAsia" w:ascii="宋体" w:hAnsi="宋体" w:eastAsia="宋体" w:cs="宋体"/>
          <w:sz w:val="24"/>
          <w:szCs w:val="24"/>
        </w:rPr>
      </w:pPr>
      <w:r>
        <w:rPr>
          <w:rFonts w:hint="eastAsia" w:ascii="宋体" w:hAnsi="宋体" w:eastAsia="宋体" w:cs="宋体"/>
          <w:sz w:val="24"/>
          <w:szCs w:val="24"/>
        </w:rPr>
        <w:t>附件1：食堂供货商月度考核评分表</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707"/>
        <w:gridCol w:w="4288"/>
        <w:gridCol w:w="898"/>
        <w:gridCol w:w="898"/>
        <w:gridCol w:w="1061"/>
        <w:gridCol w:w="898"/>
      </w:tblGrid>
      <w:tr w14:paraId="4031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vMerge w:val="restart"/>
            <w:tcMar>
              <w:top w:w="0" w:type="dxa"/>
              <w:left w:w="105" w:type="dxa"/>
              <w:bottom w:w="0" w:type="dxa"/>
              <w:right w:w="105" w:type="dxa"/>
            </w:tcMar>
            <w:vAlign w:val="center"/>
          </w:tcPr>
          <w:p w14:paraId="7E1B1490">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考核指标</w:t>
            </w:r>
          </w:p>
        </w:tc>
        <w:tc>
          <w:tcPr>
            <w:tcW w:w="354" w:type="pct"/>
            <w:vMerge w:val="restart"/>
            <w:tcMar>
              <w:top w:w="0" w:type="dxa"/>
              <w:left w:w="105" w:type="dxa"/>
              <w:bottom w:w="0" w:type="dxa"/>
              <w:right w:w="105" w:type="dxa"/>
            </w:tcMar>
            <w:vAlign w:val="center"/>
          </w:tcPr>
          <w:p w14:paraId="27EC4447">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分值</w:t>
            </w:r>
          </w:p>
        </w:tc>
        <w:tc>
          <w:tcPr>
            <w:tcW w:w="2154" w:type="pct"/>
            <w:vMerge w:val="restart"/>
            <w:tcMar>
              <w:top w:w="0" w:type="dxa"/>
              <w:left w:w="105" w:type="dxa"/>
              <w:bottom w:w="0" w:type="dxa"/>
              <w:right w:w="105" w:type="dxa"/>
            </w:tcMar>
            <w:vAlign w:val="center"/>
          </w:tcPr>
          <w:p w14:paraId="4DE7A6DB">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考核要素和评估内容及其标准</w:t>
            </w:r>
          </w:p>
        </w:tc>
        <w:tc>
          <w:tcPr>
            <w:tcW w:w="451" w:type="pct"/>
            <w:tcMar>
              <w:top w:w="0" w:type="dxa"/>
              <w:left w:w="105" w:type="dxa"/>
              <w:bottom w:w="0" w:type="dxa"/>
              <w:right w:w="105" w:type="dxa"/>
            </w:tcMar>
            <w:vAlign w:val="center"/>
          </w:tcPr>
          <w:p w14:paraId="272219DF">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优秀</w:t>
            </w:r>
          </w:p>
        </w:tc>
        <w:tc>
          <w:tcPr>
            <w:tcW w:w="451" w:type="pct"/>
            <w:tcMar>
              <w:top w:w="0" w:type="dxa"/>
              <w:left w:w="105" w:type="dxa"/>
              <w:bottom w:w="0" w:type="dxa"/>
              <w:right w:w="105" w:type="dxa"/>
            </w:tcMar>
            <w:vAlign w:val="center"/>
          </w:tcPr>
          <w:p w14:paraId="01934A00">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良好</w:t>
            </w:r>
          </w:p>
        </w:tc>
        <w:tc>
          <w:tcPr>
            <w:tcW w:w="532" w:type="pct"/>
            <w:tcMar>
              <w:top w:w="0" w:type="dxa"/>
              <w:left w:w="105" w:type="dxa"/>
              <w:bottom w:w="0" w:type="dxa"/>
              <w:right w:w="105" w:type="dxa"/>
            </w:tcMar>
            <w:vAlign w:val="center"/>
          </w:tcPr>
          <w:p w14:paraId="282E1923">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不合格</w:t>
            </w:r>
          </w:p>
        </w:tc>
        <w:tc>
          <w:tcPr>
            <w:tcW w:w="451" w:type="pct"/>
            <w:tcMar>
              <w:top w:w="0" w:type="dxa"/>
              <w:left w:w="105" w:type="dxa"/>
              <w:bottom w:w="0" w:type="dxa"/>
              <w:right w:w="105" w:type="dxa"/>
            </w:tcMar>
            <w:vAlign w:val="center"/>
          </w:tcPr>
          <w:p w14:paraId="0C9690E2">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得分情况</w:t>
            </w:r>
          </w:p>
        </w:tc>
      </w:tr>
      <w:tr w14:paraId="602B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vMerge w:val="continue"/>
            <w:vAlign w:val="center"/>
          </w:tcPr>
          <w:p w14:paraId="284705A9">
            <w:pPr>
              <w:jc w:val="center"/>
              <w:rPr>
                <w:rFonts w:hint="eastAsia" w:ascii="宋体" w:hAnsi="宋体" w:eastAsia="宋体" w:cs="宋体"/>
                <w:sz w:val="24"/>
                <w:szCs w:val="24"/>
              </w:rPr>
            </w:pPr>
          </w:p>
        </w:tc>
        <w:tc>
          <w:tcPr>
            <w:tcW w:w="354" w:type="pct"/>
            <w:vMerge w:val="continue"/>
            <w:vAlign w:val="center"/>
          </w:tcPr>
          <w:p w14:paraId="02CD81D1">
            <w:pPr>
              <w:jc w:val="center"/>
              <w:rPr>
                <w:rFonts w:hint="eastAsia" w:ascii="宋体" w:hAnsi="宋体" w:eastAsia="宋体" w:cs="宋体"/>
                <w:sz w:val="24"/>
                <w:szCs w:val="24"/>
              </w:rPr>
            </w:pPr>
          </w:p>
        </w:tc>
        <w:tc>
          <w:tcPr>
            <w:tcW w:w="2154" w:type="pct"/>
            <w:vMerge w:val="continue"/>
            <w:vAlign w:val="center"/>
          </w:tcPr>
          <w:p w14:paraId="07DA4EA0">
            <w:pPr>
              <w:jc w:val="center"/>
              <w:rPr>
                <w:rFonts w:hint="eastAsia" w:ascii="宋体" w:hAnsi="宋体" w:eastAsia="宋体" w:cs="宋体"/>
                <w:sz w:val="24"/>
                <w:szCs w:val="24"/>
              </w:rPr>
            </w:pPr>
          </w:p>
        </w:tc>
        <w:tc>
          <w:tcPr>
            <w:tcW w:w="451" w:type="pct"/>
            <w:tcMar>
              <w:top w:w="0" w:type="dxa"/>
              <w:left w:w="105" w:type="dxa"/>
              <w:bottom w:w="0" w:type="dxa"/>
              <w:right w:w="105" w:type="dxa"/>
            </w:tcMar>
            <w:vAlign w:val="center"/>
          </w:tcPr>
          <w:p w14:paraId="5D68E804">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10-8</w:t>
            </w:r>
          </w:p>
        </w:tc>
        <w:tc>
          <w:tcPr>
            <w:tcW w:w="451" w:type="pct"/>
            <w:tcMar>
              <w:top w:w="0" w:type="dxa"/>
              <w:left w:w="105" w:type="dxa"/>
              <w:bottom w:w="0" w:type="dxa"/>
              <w:right w:w="105" w:type="dxa"/>
            </w:tcMar>
            <w:vAlign w:val="center"/>
          </w:tcPr>
          <w:p w14:paraId="11A697E5">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7-5</w:t>
            </w:r>
          </w:p>
        </w:tc>
        <w:tc>
          <w:tcPr>
            <w:tcW w:w="532" w:type="pct"/>
            <w:tcMar>
              <w:top w:w="0" w:type="dxa"/>
              <w:left w:w="105" w:type="dxa"/>
              <w:bottom w:w="0" w:type="dxa"/>
              <w:right w:w="105" w:type="dxa"/>
            </w:tcMar>
            <w:vAlign w:val="center"/>
          </w:tcPr>
          <w:p w14:paraId="657B68D7">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5分以下</w:t>
            </w:r>
          </w:p>
        </w:tc>
        <w:tc>
          <w:tcPr>
            <w:tcW w:w="451" w:type="pct"/>
            <w:tcMar>
              <w:top w:w="0" w:type="dxa"/>
              <w:left w:w="105" w:type="dxa"/>
              <w:bottom w:w="0" w:type="dxa"/>
              <w:right w:w="105" w:type="dxa"/>
            </w:tcMar>
            <w:vAlign w:val="center"/>
          </w:tcPr>
          <w:p w14:paraId="1284BE00">
            <w:pPr>
              <w:pStyle w:val="13"/>
              <w:jc w:val="center"/>
              <w:rPr>
                <w:rFonts w:hint="eastAsia" w:ascii="宋体" w:hAnsi="宋体" w:eastAsia="宋体" w:cs="宋体"/>
                <w:sz w:val="24"/>
                <w:szCs w:val="24"/>
              </w:rPr>
            </w:pPr>
          </w:p>
        </w:tc>
      </w:tr>
      <w:tr w14:paraId="2BAF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Mar>
              <w:top w:w="0" w:type="dxa"/>
              <w:left w:w="105" w:type="dxa"/>
              <w:bottom w:w="0" w:type="dxa"/>
              <w:right w:w="105" w:type="dxa"/>
            </w:tcMar>
            <w:vAlign w:val="center"/>
          </w:tcPr>
          <w:p w14:paraId="3C731D6D">
            <w:pPr>
              <w:pStyle w:val="13"/>
              <w:jc w:val="both"/>
              <w:rPr>
                <w:rFonts w:hint="eastAsia" w:ascii="宋体" w:hAnsi="宋体" w:eastAsia="宋体" w:cs="宋体"/>
                <w:sz w:val="24"/>
                <w:szCs w:val="24"/>
              </w:rPr>
            </w:pPr>
            <w:r>
              <w:rPr>
                <w:rFonts w:hint="eastAsia" w:ascii="宋体" w:hAnsi="宋体" w:eastAsia="宋体" w:cs="宋体"/>
                <w:color w:val="000000"/>
                <w:sz w:val="24"/>
                <w:szCs w:val="24"/>
              </w:rPr>
              <w:t>送货时间</w:t>
            </w:r>
          </w:p>
        </w:tc>
        <w:tc>
          <w:tcPr>
            <w:tcW w:w="354" w:type="pct"/>
            <w:tcMar>
              <w:top w:w="0" w:type="dxa"/>
              <w:left w:w="105" w:type="dxa"/>
              <w:bottom w:w="0" w:type="dxa"/>
              <w:right w:w="105" w:type="dxa"/>
            </w:tcMar>
            <w:vAlign w:val="center"/>
          </w:tcPr>
          <w:p w14:paraId="666D3F0F">
            <w:pPr>
              <w:pStyle w:val="13"/>
              <w:jc w:val="both"/>
              <w:rPr>
                <w:rFonts w:hint="eastAsia" w:ascii="宋体" w:hAnsi="宋体" w:eastAsia="宋体" w:cs="宋体"/>
                <w:sz w:val="24"/>
                <w:szCs w:val="24"/>
              </w:rPr>
            </w:pPr>
            <w:r>
              <w:rPr>
                <w:rFonts w:hint="eastAsia" w:ascii="宋体" w:hAnsi="宋体" w:eastAsia="宋体" w:cs="宋体"/>
                <w:color w:val="000000"/>
                <w:sz w:val="24"/>
                <w:szCs w:val="24"/>
              </w:rPr>
              <w:t>10</w:t>
            </w:r>
          </w:p>
        </w:tc>
        <w:tc>
          <w:tcPr>
            <w:tcW w:w="2154" w:type="pct"/>
            <w:tcMar>
              <w:top w:w="0" w:type="dxa"/>
              <w:left w:w="105" w:type="dxa"/>
              <w:bottom w:w="0" w:type="dxa"/>
              <w:right w:w="105" w:type="dxa"/>
            </w:tcMar>
            <w:vAlign w:val="center"/>
          </w:tcPr>
          <w:p w14:paraId="723A316A">
            <w:pPr>
              <w:pStyle w:val="13"/>
              <w:jc w:val="both"/>
              <w:rPr>
                <w:rFonts w:hint="eastAsia" w:ascii="宋体" w:hAnsi="宋体" w:eastAsia="宋体" w:cs="宋体"/>
                <w:sz w:val="24"/>
                <w:szCs w:val="24"/>
              </w:rPr>
            </w:pPr>
            <w:r>
              <w:rPr>
                <w:rFonts w:hint="eastAsia" w:ascii="宋体" w:hAnsi="宋体" w:eastAsia="宋体" w:cs="宋体"/>
                <w:color w:val="000000"/>
                <w:sz w:val="24"/>
                <w:szCs w:val="24"/>
              </w:rPr>
              <w:t>非不可抗拒情况下：准时得8分以上；偶有不准时但能与饭堂方及时沟通得7－5分，不沟通或沟通不及时得5分以下。</w:t>
            </w:r>
          </w:p>
        </w:tc>
        <w:tc>
          <w:tcPr>
            <w:tcW w:w="451" w:type="pct"/>
            <w:tcMar>
              <w:top w:w="0" w:type="dxa"/>
              <w:left w:w="105" w:type="dxa"/>
              <w:bottom w:w="0" w:type="dxa"/>
              <w:right w:w="105" w:type="dxa"/>
            </w:tcMar>
            <w:vAlign w:val="top"/>
          </w:tcPr>
          <w:p w14:paraId="76E9C97F">
            <w:pPr>
              <w:pStyle w:val="13"/>
              <w:jc w:val="both"/>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5782E9AE">
            <w:pPr>
              <w:rPr>
                <w:rFonts w:hint="eastAsia" w:ascii="宋体" w:hAnsi="宋体" w:eastAsia="宋体" w:cs="宋体"/>
                <w:sz w:val="24"/>
                <w:szCs w:val="24"/>
              </w:rPr>
            </w:pPr>
          </w:p>
        </w:tc>
        <w:tc>
          <w:tcPr>
            <w:tcW w:w="532" w:type="pct"/>
            <w:tcMar>
              <w:top w:w="0" w:type="dxa"/>
              <w:left w:w="105" w:type="dxa"/>
              <w:bottom w:w="0" w:type="dxa"/>
              <w:right w:w="105" w:type="dxa"/>
            </w:tcMar>
            <w:vAlign w:val="top"/>
          </w:tcPr>
          <w:p w14:paraId="47801851">
            <w:pPr>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0E47F340">
            <w:pPr>
              <w:rPr>
                <w:rFonts w:hint="eastAsia" w:ascii="宋体" w:hAnsi="宋体" w:eastAsia="宋体" w:cs="宋体"/>
                <w:sz w:val="24"/>
                <w:szCs w:val="24"/>
              </w:rPr>
            </w:pPr>
          </w:p>
        </w:tc>
      </w:tr>
      <w:tr w14:paraId="7379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Mar>
              <w:top w:w="0" w:type="dxa"/>
              <w:left w:w="105" w:type="dxa"/>
              <w:bottom w:w="0" w:type="dxa"/>
              <w:right w:w="105" w:type="dxa"/>
            </w:tcMar>
            <w:vAlign w:val="center"/>
          </w:tcPr>
          <w:p w14:paraId="6F8752CC">
            <w:pPr>
              <w:pStyle w:val="13"/>
              <w:jc w:val="both"/>
              <w:rPr>
                <w:rFonts w:hint="eastAsia" w:ascii="宋体" w:hAnsi="宋体" w:eastAsia="宋体" w:cs="宋体"/>
                <w:sz w:val="24"/>
                <w:szCs w:val="24"/>
              </w:rPr>
            </w:pPr>
            <w:r>
              <w:rPr>
                <w:rFonts w:hint="eastAsia" w:ascii="宋体" w:hAnsi="宋体" w:eastAsia="宋体" w:cs="宋体"/>
                <w:color w:val="000000"/>
                <w:sz w:val="24"/>
                <w:szCs w:val="24"/>
              </w:rPr>
              <w:t>服务态度</w:t>
            </w:r>
          </w:p>
        </w:tc>
        <w:tc>
          <w:tcPr>
            <w:tcW w:w="354" w:type="pct"/>
            <w:tcMar>
              <w:top w:w="0" w:type="dxa"/>
              <w:left w:w="105" w:type="dxa"/>
              <w:bottom w:w="0" w:type="dxa"/>
              <w:right w:w="105" w:type="dxa"/>
            </w:tcMar>
            <w:vAlign w:val="center"/>
          </w:tcPr>
          <w:p w14:paraId="64842231">
            <w:pPr>
              <w:pStyle w:val="13"/>
              <w:jc w:val="both"/>
              <w:rPr>
                <w:rFonts w:hint="eastAsia" w:ascii="宋体" w:hAnsi="宋体" w:eastAsia="宋体" w:cs="宋体"/>
                <w:sz w:val="24"/>
                <w:szCs w:val="24"/>
              </w:rPr>
            </w:pPr>
            <w:r>
              <w:rPr>
                <w:rFonts w:hint="eastAsia" w:ascii="宋体" w:hAnsi="宋体" w:eastAsia="宋体" w:cs="宋体"/>
                <w:color w:val="000000"/>
                <w:sz w:val="24"/>
                <w:szCs w:val="24"/>
              </w:rPr>
              <w:t>10</w:t>
            </w:r>
          </w:p>
        </w:tc>
        <w:tc>
          <w:tcPr>
            <w:tcW w:w="2154" w:type="pct"/>
            <w:tcMar>
              <w:top w:w="0" w:type="dxa"/>
              <w:left w:w="105" w:type="dxa"/>
              <w:bottom w:w="0" w:type="dxa"/>
              <w:right w:w="105" w:type="dxa"/>
            </w:tcMar>
            <w:vAlign w:val="center"/>
          </w:tcPr>
          <w:p w14:paraId="1D348475">
            <w:pPr>
              <w:pStyle w:val="13"/>
              <w:jc w:val="both"/>
              <w:rPr>
                <w:rFonts w:hint="eastAsia" w:ascii="宋体" w:hAnsi="宋体" w:eastAsia="宋体" w:cs="宋体"/>
                <w:sz w:val="24"/>
                <w:szCs w:val="24"/>
              </w:rPr>
            </w:pPr>
            <w:r>
              <w:rPr>
                <w:rFonts w:hint="eastAsia" w:ascii="宋体" w:hAnsi="宋体" w:eastAsia="宋体" w:cs="宋体"/>
                <w:color w:val="000000"/>
                <w:sz w:val="24"/>
                <w:szCs w:val="24"/>
              </w:rPr>
              <w:t>工作人员工作认真，服务热情周到，运送搬装文明得8分以上；有时发现因搬装等原因造成食物污染、破损得7－5分；经常发生以上情况5分以下。</w:t>
            </w:r>
          </w:p>
        </w:tc>
        <w:tc>
          <w:tcPr>
            <w:tcW w:w="451" w:type="pct"/>
            <w:tcMar>
              <w:top w:w="0" w:type="dxa"/>
              <w:left w:w="105" w:type="dxa"/>
              <w:bottom w:w="0" w:type="dxa"/>
              <w:right w:w="105" w:type="dxa"/>
            </w:tcMar>
            <w:vAlign w:val="top"/>
          </w:tcPr>
          <w:p w14:paraId="72CA013E">
            <w:pPr>
              <w:pStyle w:val="13"/>
              <w:jc w:val="both"/>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0FBA6E27">
            <w:pPr>
              <w:rPr>
                <w:rFonts w:hint="eastAsia" w:ascii="宋体" w:hAnsi="宋体" w:eastAsia="宋体" w:cs="宋体"/>
                <w:sz w:val="24"/>
                <w:szCs w:val="24"/>
              </w:rPr>
            </w:pPr>
          </w:p>
        </w:tc>
        <w:tc>
          <w:tcPr>
            <w:tcW w:w="532" w:type="pct"/>
            <w:tcMar>
              <w:top w:w="0" w:type="dxa"/>
              <w:left w:w="105" w:type="dxa"/>
              <w:bottom w:w="0" w:type="dxa"/>
              <w:right w:w="105" w:type="dxa"/>
            </w:tcMar>
            <w:vAlign w:val="top"/>
          </w:tcPr>
          <w:p w14:paraId="11DBF26C">
            <w:pPr>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3F8433E5">
            <w:pPr>
              <w:rPr>
                <w:rFonts w:hint="eastAsia" w:ascii="宋体" w:hAnsi="宋体" w:eastAsia="宋体" w:cs="宋体"/>
                <w:sz w:val="24"/>
                <w:szCs w:val="24"/>
              </w:rPr>
            </w:pPr>
          </w:p>
        </w:tc>
      </w:tr>
      <w:tr w14:paraId="36BD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Mar>
              <w:top w:w="0" w:type="dxa"/>
              <w:left w:w="105" w:type="dxa"/>
              <w:bottom w:w="0" w:type="dxa"/>
              <w:right w:w="105" w:type="dxa"/>
            </w:tcMar>
            <w:vAlign w:val="center"/>
          </w:tcPr>
          <w:p w14:paraId="1C02A472">
            <w:pPr>
              <w:pStyle w:val="13"/>
              <w:jc w:val="both"/>
              <w:rPr>
                <w:rFonts w:hint="eastAsia" w:ascii="宋体" w:hAnsi="宋体" w:eastAsia="宋体" w:cs="宋体"/>
                <w:sz w:val="24"/>
                <w:szCs w:val="24"/>
              </w:rPr>
            </w:pPr>
            <w:r>
              <w:rPr>
                <w:rFonts w:hint="eastAsia" w:ascii="宋体" w:hAnsi="宋体" w:eastAsia="宋体" w:cs="宋体"/>
                <w:color w:val="000000"/>
                <w:sz w:val="24"/>
                <w:szCs w:val="24"/>
              </w:rPr>
              <w:t>差错情况</w:t>
            </w:r>
          </w:p>
        </w:tc>
        <w:tc>
          <w:tcPr>
            <w:tcW w:w="354" w:type="pct"/>
            <w:tcMar>
              <w:top w:w="0" w:type="dxa"/>
              <w:left w:w="105" w:type="dxa"/>
              <w:bottom w:w="0" w:type="dxa"/>
              <w:right w:w="105" w:type="dxa"/>
            </w:tcMar>
            <w:vAlign w:val="center"/>
          </w:tcPr>
          <w:p w14:paraId="0AFCDF03">
            <w:pPr>
              <w:pStyle w:val="13"/>
              <w:jc w:val="both"/>
              <w:rPr>
                <w:rFonts w:hint="eastAsia" w:ascii="宋体" w:hAnsi="宋体" w:eastAsia="宋体" w:cs="宋体"/>
                <w:sz w:val="24"/>
                <w:szCs w:val="24"/>
              </w:rPr>
            </w:pPr>
            <w:r>
              <w:rPr>
                <w:rFonts w:hint="eastAsia" w:ascii="宋体" w:hAnsi="宋体" w:eastAsia="宋体" w:cs="宋体"/>
                <w:color w:val="000000"/>
                <w:sz w:val="24"/>
                <w:szCs w:val="24"/>
              </w:rPr>
              <w:t>10</w:t>
            </w:r>
          </w:p>
        </w:tc>
        <w:tc>
          <w:tcPr>
            <w:tcW w:w="2154" w:type="pct"/>
            <w:tcMar>
              <w:top w:w="0" w:type="dxa"/>
              <w:left w:w="105" w:type="dxa"/>
              <w:bottom w:w="0" w:type="dxa"/>
              <w:right w:w="105" w:type="dxa"/>
            </w:tcMar>
            <w:vAlign w:val="center"/>
          </w:tcPr>
          <w:p w14:paraId="4DC962B2">
            <w:pPr>
              <w:pStyle w:val="13"/>
              <w:jc w:val="both"/>
              <w:rPr>
                <w:rFonts w:hint="eastAsia" w:ascii="宋体" w:hAnsi="宋体" w:eastAsia="宋体" w:cs="宋体"/>
                <w:sz w:val="24"/>
                <w:szCs w:val="24"/>
              </w:rPr>
            </w:pPr>
            <w:r>
              <w:rPr>
                <w:rFonts w:hint="eastAsia" w:ascii="宋体" w:hAnsi="宋体" w:eastAsia="宋体" w:cs="宋体"/>
                <w:color w:val="000000"/>
                <w:sz w:val="24"/>
                <w:szCs w:val="24"/>
              </w:rPr>
              <w:t>送货无差错得8分以上；较少有差错但能及时补救得7－5分；经常出错且补救不及时5分以下。</w:t>
            </w:r>
          </w:p>
        </w:tc>
        <w:tc>
          <w:tcPr>
            <w:tcW w:w="451" w:type="pct"/>
            <w:tcMar>
              <w:top w:w="0" w:type="dxa"/>
              <w:left w:w="105" w:type="dxa"/>
              <w:bottom w:w="0" w:type="dxa"/>
              <w:right w:w="105" w:type="dxa"/>
            </w:tcMar>
            <w:vAlign w:val="top"/>
          </w:tcPr>
          <w:p w14:paraId="27FA0873">
            <w:pPr>
              <w:pStyle w:val="13"/>
              <w:jc w:val="both"/>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4F09C7A4">
            <w:pPr>
              <w:rPr>
                <w:rFonts w:hint="eastAsia" w:ascii="宋体" w:hAnsi="宋体" w:eastAsia="宋体" w:cs="宋体"/>
                <w:sz w:val="24"/>
                <w:szCs w:val="24"/>
              </w:rPr>
            </w:pPr>
          </w:p>
        </w:tc>
        <w:tc>
          <w:tcPr>
            <w:tcW w:w="532" w:type="pct"/>
            <w:tcMar>
              <w:top w:w="0" w:type="dxa"/>
              <w:left w:w="105" w:type="dxa"/>
              <w:bottom w:w="0" w:type="dxa"/>
              <w:right w:w="105" w:type="dxa"/>
            </w:tcMar>
            <w:vAlign w:val="top"/>
          </w:tcPr>
          <w:p w14:paraId="6F2F32F8">
            <w:pPr>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6E4201FA">
            <w:pPr>
              <w:rPr>
                <w:rFonts w:hint="eastAsia" w:ascii="宋体" w:hAnsi="宋体" w:eastAsia="宋体" w:cs="宋体"/>
                <w:sz w:val="24"/>
                <w:szCs w:val="24"/>
              </w:rPr>
            </w:pPr>
          </w:p>
        </w:tc>
      </w:tr>
      <w:tr w14:paraId="68BF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Mar>
              <w:top w:w="0" w:type="dxa"/>
              <w:left w:w="105" w:type="dxa"/>
              <w:bottom w:w="0" w:type="dxa"/>
              <w:right w:w="105" w:type="dxa"/>
            </w:tcMar>
            <w:vAlign w:val="center"/>
          </w:tcPr>
          <w:p w14:paraId="04589612">
            <w:pPr>
              <w:pStyle w:val="13"/>
              <w:jc w:val="both"/>
              <w:rPr>
                <w:rFonts w:hint="eastAsia" w:ascii="宋体" w:hAnsi="宋体" w:eastAsia="宋体" w:cs="宋体"/>
                <w:sz w:val="24"/>
                <w:szCs w:val="24"/>
              </w:rPr>
            </w:pPr>
            <w:r>
              <w:rPr>
                <w:rFonts w:hint="eastAsia" w:ascii="宋体" w:hAnsi="宋体" w:eastAsia="宋体" w:cs="宋体"/>
                <w:color w:val="000000"/>
                <w:sz w:val="24"/>
                <w:szCs w:val="24"/>
              </w:rPr>
              <w:t>足斤足两</w:t>
            </w:r>
          </w:p>
        </w:tc>
        <w:tc>
          <w:tcPr>
            <w:tcW w:w="354" w:type="pct"/>
            <w:tcMar>
              <w:top w:w="0" w:type="dxa"/>
              <w:left w:w="105" w:type="dxa"/>
              <w:bottom w:w="0" w:type="dxa"/>
              <w:right w:w="105" w:type="dxa"/>
            </w:tcMar>
            <w:vAlign w:val="center"/>
          </w:tcPr>
          <w:p w14:paraId="2937ED7C">
            <w:pPr>
              <w:pStyle w:val="13"/>
              <w:jc w:val="both"/>
              <w:rPr>
                <w:rFonts w:hint="eastAsia" w:ascii="宋体" w:hAnsi="宋体" w:eastAsia="宋体" w:cs="宋体"/>
                <w:sz w:val="24"/>
                <w:szCs w:val="24"/>
              </w:rPr>
            </w:pPr>
            <w:r>
              <w:rPr>
                <w:rFonts w:hint="eastAsia" w:ascii="宋体" w:hAnsi="宋体" w:eastAsia="宋体" w:cs="宋体"/>
                <w:color w:val="000000"/>
                <w:sz w:val="24"/>
                <w:szCs w:val="24"/>
              </w:rPr>
              <w:t>10</w:t>
            </w:r>
          </w:p>
        </w:tc>
        <w:tc>
          <w:tcPr>
            <w:tcW w:w="2154" w:type="pct"/>
            <w:tcMar>
              <w:top w:w="0" w:type="dxa"/>
              <w:left w:w="105" w:type="dxa"/>
              <w:bottom w:w="0" w:type="dxa"/>
              <w:right w:w="105" w:type="dxa"/>
            </w:tcMar>
            <w:vAlign w:val="center"/>
          </w:tcPr>
          <w:p w14:paraId="799DCA90">
            <w:pPr>
              <w:pStyle w:val="13"/>
              <w:jc w:val="both"/>
              <w:rPr>
                <w:rFonts w:hint="eastAsia" w:ascii="宋体" w:hAnsi="宋体" w:eastAsia="宋体" w:cs="宋体"/>
                <w:sz w:val="24"/>
                <w:szCs w:val="24"/>
              </w:rPr>
            </w:pPr>
            <w:r>
              <w:rPr>
                <w:rFonts w:hint="eastAsia" w:ascii="宋体" w:hAnsi="宋体" w:eastAsia="宋体" w:cs="宋体"/>
                <w:color w:val="000000"/>
                <w:sz w:val="24"/>
                <w:szCs w:val="24"/>
              </w:rPr>
              <w:t>送货无短斤缺两现象得8分以上；每月出现短斤缺两的次数不超过3次，且能及时更正得7－5分；上述情况每月发生次数超过3次，且不能及时更正5分以下。</w:t>
            </w:r>
          </w:p>
        </w:tc>
        <w:tc>
          <w:tcPr>
            <w:tcW w:w="451" w:type="pct"/>
            <w:tcMar>
              <w:top w:w="0" w:type="dxa"/>
              <w:left w:w="105" w:type="dxa"/>
              <w:bottom w:w="0" w:type="dxa"/>
              <w:right w:w="105" w:type="dxa"/>
            </w:tcMar>
            <w:vAlign w:val="top"/>
          </w:tcPr>
          <w:p w14:paraId="79A2B28E">
            <w:pPr>
              <w:pStyle w:val="13"/>
              <w:jc w:val="both"/>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4BB96BF1">
            <w:pPr>
              <w:rPr>
                <w:rFonts w:hint="eastAsia" w:ascii="宋体" w:hAnsi="宋体" w:eastAsia="宋体" w:cs="宋体"/>
                <w:sz w:val="24"/>
                <w:szCs w:val="24"/>
              </w:rPr>
            </w:pPr>
          </w:p>
        </w:tc>
        <w:tc>
          <w:tcPr>
            <w:tcW w:w="532" w:type="pct"/>
            <w:tcMar>
              <w:top w:w="0" w:type="dxa"/>
              <w:left w:w="105" w:type="dxa"/>
              <w:bottom w:w="0" w:type="dxa"/>
              <w:right w:w="105" w:type="dxa"/>
            </w:tcMar>
            <w:vAlign w:val="top"/>
          </w:tcPr>
          <w:p w14:paraId="7F450FA1">
            <w:pPr>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30E0EEB7">
            <w:pPr>
              <w:rPr>
                <w:rFonts w:hint="eastAsia" w:ascii="宋体" w:hAnsi="宋体" w:eastAsia="宋体" w:cs="宋体"/>
                <w:sz w:val="24"/>
                <w:szCs w:val="24"/>
              </w:rPr>
            </w:pPr>
          </w:p>
        </w:tc>
      </w:tr>
      <w:tr w14:paraId="5AA4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Mar>
              <w:top w:w="0" w:type="dxa"/>
              <w:left w:w="105" w:type="dxa"/>
              <w:bottom w:w="0" w:type="dxa"/>
              <w:right w:w="105" w:type="dxa"/>
            </w:tcMar>
            <w:vAlign w:val="center"/>
          </w:tcPr>
          <w:p w14:paraId="53DA5ADC">
            <w:pPr>
              <w:pStyle w:val="13"/>
              <w:jc w:val="both"/>
              <w:rPr>
                <w:rFonts w:hint="eastAsia" w:ascii="宋体" w:hAnsi="宋体" w:eastAsia="宋体" w:cs="宋体"/>
                <w:sz w:val="24"/>
                <w:szCs w:val="24"/>
              </w:rPr>
            </w:pPr>
            <w:r>
              <w:rPr>
                <w:rFonts w:hint="eastAsia" w:ascii="宋体" w:hAnsi="宋体" w:eastAsia="宋体" w:cs="宋体"/>
                <w:color w:val="000000"/>
                <w:sz w:val="24"/>
                <w:szCs w:val="24"/>
              </w:rPr>
              <w:t>价格与质量合理性</w:t>
            </w:r>
          </w:p>
        </w:tc>
        <w:tc>
          <w:tcPr>
            <w:tcW w:w="354" w:type="pct"/>
            <w:tcMar>
              <w:top w:w="0" w:type="dxa"/>
              <w:left w:w="105" w:type="dxa"/>
              <w:bottom w:w="0" w:type="dxa"/>
              <w:right w:w="105" w:type="dxa"/>
            </w:tcMar>
            <w:vAlign w:val="center"/>
          </w:tcPr>
          <w:p w14:paraId="1F812782">
            <w:pPr>
              <w:pStyle w:val="13"/>
              <w:jc w:val="both"/>
              <w:rPr>
                <w:rFonts w:hint="eastAsia" w:ascii="宋体" w:hAnsi="宋体" w:eastAsia="宋体" w:cs="宋体"/>
                <w:sz w:val="24"/>
                <w:szCs w:val="24"/>
              </w:rPr>
            </w:pPr>
            <w:r>
              <w:rPr>
                <w:rFonts w:hint="eastAsia" w:ascii="宋体" w:hAnsi="宋体" w:eastAsia="宋体" w:cs="宋体"/>
                <w:color w:val="000000"/>
                <w:sz w:val="24"/>
                <w:szCs w:val="24"/>
              </w:rPr>
              <w:t>10</w:t>
            </w:r>
          </w:p>
        </w:tc>
        <w:tc>
          <w:tcPr>
            <w:tcW w:w="2154" w:type="pct"/>
            <w:tcMar>
              <w:top w:w="0" w:type="dxa"/>
              <w:left w:w="105" w:type="dxa"/>
              <w:bottom w:w="0" w:type="dxa"/>
              <w:right w:w="105" w:type="dxa"/>
            </w:tcMar>
            <w:vAlign w:val="center"/>
          </w:tcPr>
          <w:p w14:paraId="2ADC9BF6">
            <w:pPr>
              <w:pStyle w:val="13"/>
              <w:jc w:val="both"/>
              <w:rPr>
                <w:rFonts w:hint="eastAsia" w:ascii="宋体" w:hAnsi="宋体" w:eastAsia="宋体" w:cs="宋体"/>
                <w:sz w:val="24"/>
                <w:szCs w:val="24"/>
              </w:rPr>
            </w:pPr>
            <w:r>
              <w:rPr>
                <w:rFonts w:hint="eastAsia" w:ascii="宋体" w:hAnsi="宋体" w:eastAsia="宋体" w:cs="宋体"/>
                <w:color w:val="000000"/>
                <w:sz w:val="24"/>
                <w:szCs w:val="24"/>
              </w:rPr>
              <w:t>按照菜篮子价格与指定市场的同等价格品种的质量相比较。价格比较合理得8分以上；对比市场价，价格有偏高，得7－5分；价格远高于市场价，不合理5分以下</w:t>
            </w:r>
          </w:p>
        </w:tc>
        <w:tc>
          <w:tcPr>
            <w:tcW w:w="451" w:type="pct"/>
            <w:tcMar>
              <w:top w:w="0" w:type="dxa"/>
              <w:left w:w="105" w:type="dxa"/>
              <w:bottom w:w="0" w:type="dxa"/>
              <w:right w:w="105" w:type="dxa"/>
            </w:tcMar>
            <w:vAlign w:val="top"/>
          </w:tcPr>
          <w:p w14:paraId="6A1926CA">
            <w:pPr>
              <w:pStyle w:val="13"/>
              <w:jc w:val="both"/>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26F53A1F">
            <w:pPr>
              <w:rPr>
                <w:rFonts w:hint="eastAsia" w:ascii="宋体" w:hAnsi="宋体" w:eastAsia="宋体" w:cs="宋体"/>
                <w:sz w:val="24"/>
                <w:szCs w:val="24"/>
              </w:rPr>
            </w:pPr>
          </w:p>
        </w:tc>
        <w:tc>
          <w:tcPr>
            <w:tcW w:w="532" w:type="pct"/>
            <w:tcMar>
              <w:top w:w="0" w:type="dxa"/>
              <w:left w:w="105" w:type="dxa"/>
              <w:bottom w:w="0" w:type="dxa"/>
              <w:right w:w="105" w:type="dxa"/>
            </w:tcMar>
            <w:vAlign w:val="top"/>
          </w:tcPr>
          <w:p w14:paraId="41287AB6">
            <w:pPr>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78F75940">
            <w:pPr>
              <w:rPr>
                <w:rFonts w:hint="eastAsia" w:ascii="宋体" w:hAnsi="宋体" w:eastAsia="宋体" w:cs="宋体"/>
                <w:sz w:val="24"/>
                <w:szCs w:val="24"/>
              </w:rPr>
            </w:pPr>
          </w:p>
        </w:tc>
      </w:tr>
      <w:tr w14:paraId="61C8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Mar>
              <w:top w:w="0" w:type="dxa"/>
              <w:left w:w="105" w:type="dxa"/>
              <w:bottom w:w="0" w:type="dxa"/>
              <w:right w:w="105" w:type="dxa"/>
            </w:tcMar>
            <w:vAlign w:val="center"/>
          </w:tcPr>
          <w:p w14:paraId="3D4AF3E9">
            <w:pPr>
              <w:pStyle w:val="13"/>
              <w:jc w:val="both"/>
              <w:rPr>
                <w:rFonts w:hint="eastAsia" w:ascii="宋体" w:hAnsi="宋体" w:eastAsia="宋体" w:cs="宋体"/>
                <w:sz w:val="24"/>
                <w:szCs w:val="24"/>
              </w:rPr>
            </w:pPr>
            <w:r>
              <w:rPr>
                <w:rFonts w:hint="eastAsia" w:ascii="宋体" w:hAnsi="宋体" w:eastAsia="宋体" w:cs="宋体"/>
                <w:color w:val="000000"/>
                <w:sz w:val="24"/>
                <w:szCs w:val="24"/>
              </w:rPr>
              <w:t>质量服务</w:t>
            </w:r>
          </w:p>
        </w:tc>
        <w:tc>
          <w:tcPr>
            <w:tcW w:w="354" w:type="pct"/>
            <w:tcMar>
              <w:top w:w="0" w:type="dxa"/>
              <w:left w:w="105" w:type="dxa"/>
              <w:bottom w:w="0" w:type="dxa"/>
              <w:right w:w="105" w:type="dxa"/>
            </w:tcMar>
            <w:vAlign w:val="center"/>
          </w:tcPr>
          <w:p w14:paraId="59856D25">
            <w:pPr>
              <w:pStyle w:val="13"/>
              <w:jc w:val="both"/>
              <w:rPr>
                <w:rFonts w:hint="eastAsia" w:ascii="宋体" w:hAnsi="宋体" w:eastAsia="宋体" w:cs="宋体"/>
                <w:sz w:val="24"/>
                <w:szCs w:val="24"/>
              </w:rPr>
            </w:pPr>
            <w:r>
              <w:rPr>
                <w:rFonts w:hint="eastAsia" w:ascii="宋体" w:hAnsi="宋体" w:eastAsia="宋体" w:cs="宋体"/>
                <w:color w:val="000000"/>
                <w:sz w:val="24"/>
                <w:szCs w:val="24"/>
              </w:rPr>
              <w:t>10</w:t>
            </w:r>
          </w:p>
        </w:tc>
        <w:tc>
          <w:tcPr>
            <w:tcW w:w="2154" w:type="pct"/>
            <w:tcMar>
              <w:top w:w="0" w:type="dxa"/>
              <w:left w:w="105" w:type="dxa"/>
              <w:bottom w:w="0" w:type="dxa"/>
              <w:right w:w="105" w:type="dxa"/>
            </w:tcMar>
            <w:vAlign w:val="center"/>
          </w:tcPr>
          <w:p w14:paraId="0B93266C">
            <w:pPr>
              <w:pStyle w:val="13"/>
              <w:jc w:val="both"/>
              <w:rPr>
                <w:rFonts w:hint="eastAsia" w:ascii="宋体" w:hAnsi="宋体" w:eastAsia="宋体" w:cs="宋体"/>
                <w:sz w:val="24"/>
                <w:szCs w:val="24"/>
              </w:rPr>
            </w:pPr>
            <w:r>
              <w:rPr>
                <w:rFonts w:hint="eastAsia" w:ascii="宋体" w:hAnsi="宋体" w:eastAsia="宋体" w:cs="宋体"/>
                <w:color w:val="000000"/>
                <w:sz w:val="24"/>
                <w:szCs w:val="24"/>
              </w:rPr>
              <w:t>所供商品经过挑选后利用率达到98%得8分以上，偶尔发现商品利用率在97%-90%，7－5分；经常发现未经挑选并有腐烂等现影响质量的商品5分以下。</w:t>
            </w:r>
          </w:p>
        </w:tc>
        <w:tc>
          <w:tcPr>
            <w:tcW w:w="451" w:type="pct"/>
            <w:tcMar>
              <w:top w:w="0" w:type="dxa"/>
              <w:left w:w="105" w:type="dxa"/>
              <w:bottom w:w="0" w:type="dxa"/>
              <w:right w:w="105" w:type="dxa"/>
            </w:tcMar>
            <w:vAlign w:val="top"/>
          </w:tcPr>
          <w:p w14:paraId="76F3FFEB">
            <w:pPr>
              <w:pStyle w:val="13"/>
              <w:jc w:val="both"/>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6557FF37">
            <w:pPr>
              <w:rPr>
                <w:rFonts w:hint="eastAsia" w:ascii="宋体" w:hAnsi="宋体" w:eastAsia="宋体" w:cs="宋体"/>
                <w:sz w:val="24"/>
                <w:szCs w:val="24"/>
              </w:rPr>
            </w:pPr>
          </w:p>
        </w:tc>
        <w:tc>
          <w:tcPr>
            <w:tcW w:w="532" w:type="pct"/>
            <w:tcMar>
              <w:top w:w="0" w:type="dxa"/>
              <w:left w:w="105" w:type="dxa"/>
              <w:bottom w:w="0" w:type="dxa"/>
              <w:right w:w="105" w:type="dxa"/>
            </w:tcMar>
            <w:vAlign w:val="top"/>
          </w:tcPr>
          <w:p w14:paraId="0B0735F1">
            <w:pPr>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018DA7CD">
            <w:pPr>
              <w:rPr>
                <w:rFonts w:hint="eastAsia" w:ascii="宋体" w:hAnsi="宋体" w:eastAsia="宋体" w:cs="宋体"/>
                <w:sz w:val="24"/>
                <w:szCs w:val="24"/>
              </w:rPr>
            </w:pPr>
          </w:p>
        </w:tc>
      </w:tr>
      <w:tr w14:paraId="62D1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Mar>
              <w:top w:w="0" w:type="dxa"/>
              <w:left w:w="105" w:type="dxa"/>
              <w:bottom w:w="0" w:type="dxa"/>
              <w:right w:w="105" w:type="dxa"/>
            </w:tcMar>
            <w:vAlign w:val="center"/>
          </w:tcPr>
          <w:p w14:paraId="0E393E9B">
            <w:pPr>
              <w:pStyle w:val="13"/>
              <w:jc w:val="both"/>
              <w:rPr>
                <w:rFonts w:hint="eastAsia" w:ascii="宋体" w:hAnsi="宋体" w:eastAsia="宋体" w:cs="宋体"/>
                <w:sz w:val="24"/>
                <w:szCs w:val="24"/>
              </w:rPr>
            </w:pPr>
            <w:r>
              <w:rPr>
                <w:rFonts w:hint="eastAsia" w:ascii="宋体" w:hAnsi="宋体" w:eastAsia="宋体" w:cs="宋体"/>
                <w:color w:val="000000"/>
                <w:sz w:val="24"/>
                <w:szCs w:val="24"/>
              </w:rPr>
              <w:t>品牌意识</w:t>
            </w:r>
          </w:p>
        </w:tc>
        <w:tc>
          <w:tcPr>
            <w:tcW w:w="354" w:type="pct"/>
            <w:tcMar>
              <w:top w:w="0" w:type="dxa"/>
              <w:left w:w="105" w:type="dxa"/>
              <w:bottom w:w="0" w:type="dxa"/>
              <w:right w:w="105" w:type="dxa"/>
            </w:tcMar>
            <w:vAlign w:val="center"/>
          </w:tcPr>
          <w:p w14:paraId="64F74280">
            <w:pPr>
              <w:pStyle w:val="13"/>
              <w:jc w:val="both"/>
              <w:rPr>
                <w:rFonts w:hint="eastAsia" w:ascii="宋体" w:hAnsi="宋体" w:eastAsia="宋体" w:cs="宋体"/>
                <w:sz w:val="24"/>
                <w:szCs w:val="24"/>
              </w:rPr>
            </w:pPr>
            <w:r>
              <w:rPr>
                <w:rFonts w:hint="eastAsia" w:ascii="宋体" w:hAnsi="宋体" w:eastAsia="宋体" w:cs="宋体"/>
                <w:color w:val="000000"/>
                <w:sz w:val="24"/>
                <w:szCs w:val="24"/>
              </w:rPr>
              <w:t>10</w:t>
            </w:r>
          </w:p>
        </w:tc>
        <w:tc>
          <w:tcPr>
            <w:tcW w:w="2154" w:type="pct"/>
            <w:tcMar>
              <w:top w:w="0" w:type="dxa"/>
              <w:left w:w="105" w:type="dxa"/>
              <w:bottom w:w="0" w:type="dxa"/>
              <w:right w:w="105" w:type="dxa"/>
            </w:tcMar>
            <w:vAlign w:val="center"/>
          </w:tcPr>
          <w:p w14:paraId="171E016F">
            <w:pPr>
              <w:pStyle w:val="13"/>
              <w:jc w:val="both"/>
              <w:rPr>
                <w:rFonts w:hint="eastAsia" w:ascii="宋体" w:hAnsi="宋体" w:eastAsia="宋体" w:cs="宋体"/>
                <w:sz w:val="24"/>
                <w:szCs w:val="24"/>
              </w:rPr>
            </w:pPr>
            <w:r>
              <w:rPr>
                <w:rFonts w:hint="eastAsia" w:ascii="宋体" w:hAnsi="宋体" w:eastAsia="宋体" w:cs="宋体"/>
                <w:color w:val="000000"/>
                <w:sz w:val="24"/>
                <w:szCs w:val="24"/>
              </w:rPr>
              <w:t>按饭堂发布的品种采购，无擅自更换商品品种现象8分以上；偶尔发现7－5分，发现2次/月以上得5分以下。病人饭堂品种绝对不能更改。</w:t>
            </w:r>
          </w:p>
        </w:tc>
        <w:tc>
          <w:tcPr>
            <w:tcW w:w="451" w:type="pct"/>
            <w:tcMar>
              <w:top w:w="0" w:type="dxa"/>
              <w:left w:w="105" w:type="dxa"/>
              <w:bottom w:w="0" w:type="dxa"/>
              <w:right w:w="105" w:type="dxa"/>
            </w:tcMar>
            <w:vAlign w:val="top"/>
          </w:tcPr>
          <w:p w14:paraId="67E6BB5B">
            <w:pPr>
              <w:pStyle w:val="13"/>
              <w:jc w:val="both"/>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51D6F829">
            <w:pPr>
              <w:rPr>
                <w:rFonts w:hint="eastAsia" w:ascii="宋体" w:hAnsi="宋体" w:eastAsia="宋体" w:cs="宋体"/>
                <w:sz w:val="24"/>
                <w:szCs w:val="24"/>
              </w:rPr>
            </w:pPr>
          </w:p>
        </w:tc>
        <w:tc>
          <w:tcPr>
            <w:tcW w:w="532" w:type="pct"/>
            <w:tcMar>
              <w:top w:w="0" w:type="dxa"/>
              <w:left w:w="105" w:type="dxa"/>
              <w:bottom w:w="0" w:type="dxa"/>
              <w:right w:w="105" w:type="dxa"/>
            </w:tcMar>
            <w:vAlign w:val="top"/>
          </w:tcPr>
          <w:p w14:paraId="71237717">
            <w:pPr>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2D1EDDD0">
            <w:pPr>
              <w:rPr>
                <w:rFonts w:hint="eastAsia" w:ascii="宋体" w:hAnsi="宋体" w:eastAsia="宋体" w:cs="宋体"/>
                <w:sz w:val="24"/>
                <w:szCs w:val="24"/>
              </w:rPr>
            </w:pPr>
          </w:p>
        </w:tc>
      </w:tr>
      <w:tr w14:paraId="16B6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Mar>
              <w:top w:w="0" w:type="dxa"/>
              <w:left w:w="105" w:type="dxa"/>
              <w:bottom w:w="0" w:type="dxa"/>
              <w:right w:w="105" w:type="dxa"/>
            </w:tcMar>
            <w:vAlign w:val="center"/>
          </w:tcPr>
          <w:p w14:paraId="70139591">
            <w:pPr>
              <w:pStyle w:val="13"/>
              <w:jc w:val="both"/>
              <w:rPr>
                <w:rFonts w:hint="eastAsia" w:ascii="宋体" w:hAnsi="宋体" w:eastAsia="宋体" w:cs="宋体"/>
                <w:sz w:val="24"/>
                <w:szCs w:val="24"/>
              </w:rPr>
            </w:pPr>
            <w:r>
              <w:rPr>
                <w:rFonts w:hint="eastAsia" w:ascii="宋体" w:hAnsi="宋体" w:eastAsia="宋体" w:cs="宋体"/>
                <w:color w:val="000000"/>
                <w:sz w:val="24"/>
                <w:szCs w:val="24"/>
              </w:rPr>
              <w:t>联系制度</w:t>
            </w:r>
          </w:p>
        </w:tc>
        <w:tc>
          <w:tcPr>
            <w:tcW w:w="354" w:type="pct"/>
            <w:tcMar>
              <w:top w:w="0" w:type="dxa"/>
              <w:left w:w="105" w:type="dxa"/>
              <w:bottom w:w="0" w:type="dxa"/>
              <w:right w:w="105" w:type="dxa"/>
            </w:tcMar>
            <w:vAlign w:val="center"/>
          </w:tcPr>
          <w:p w14:paraId="6893AA05">
            <w:pPr>
              <w:pStyle w:val="13"/>
              <w:jc w:val="both"/>
              <w:rPr>
                <w:rFonts w:hint="eastAsia" w:ascii="宋体" w:hAnsi="宋体" w:eastAsia="宋体" w:cs="宋体"/>
                <w:sz w:val="24"/>
                <w:szCs w:val="24"/>
              </w:rPr>
            </w:pPr>
            <w:r>
              <w:rPr>
                <w:rFonts w:hint="eastAsia" w:ascii="宋体" w:hAnsi="宋体" w:eastAsia="宋体" w:cs="宋体"/>
                <w:color w:val="000000"/>
                <w:sz w:val="24"/>
                <w:szCs w:val="24"/>
              </w:rPr>
              <w:t>10</w:t>
            </w:r>
          </w:p>
        </w:tc>
        <w:tc>
          <w:tcPr>
            <w:tcW w:w="2154" w:type="pct"/>
            <w:tcMar>
              <w:top w:w="0" w:type="dxa"/>
              <w:left w:w="105" w:type="dxa"/>
              <w:bottom w:w="0" w:type="dxa"/>
              <w:right w:w="105" w:type="dxa"/>
            </w:tcMar>
            <w:vAlign w:val="center"/>
          </w:tcPr>
          <w:p w14:paraId="63962C5E">
            <w:pPr>
              <w:pStyle w:val="13"/>
              <w:jc w:val="both"/>
              <w:rPr>
                <w:rFonts w:hint="eastAsia" w:ascii="宋体" w:hAnsi="宋体" w:eastAsia="宋体" w:cs="宋体"/>
                <w:sz w:val="24"/>
                <w:szCs w:val="24"/>
              </w:rPr>
            </w:pPr>
            <w:r>
              <w:rPr>
                <w:rFonts w:hint="eastAsia" w:ascii="宋体" w:hAnsi="宋体" w:eastAsia="宋体" w:cs="宋体"/>
                <w:color w:val="000000"/>
                <w:sz w:val="24"/>
                <w:szCs w:val="24"/>
              </w:rPr>
              <w:t>更换品牌前，事先与饭堂联系并谈妥商品规格、价格等事项，然后发货8分以上；偶尔单方定价7－5分；多次单方定价5分以下。</w:t>
            </w:r>
          </w:p>
        </w:tc>
        <w:tc>
          <w:tcPr>
            <w:tcW w:w="451" w:type="pct"/>
            <w:tcMar>
              <w:top w:w="0" w:type="dxa"/>
              <w:left w:w="105" w:type="dxa"/>
              <w:bottom w:w="0" w:type="dxa"/>
              <w:right w:w="105" w:type="dxa"/>
            </w:tcMar>
            <w:vAlign w:val="top"/>
          </w:tcPr>
          <w:p w14:paraId="5FE81A82">
            <w:pPr>
              <w:pStyle w:val="13"/>
              <w:jc w:val="both"/>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55A01078">
            <w:pPr>
              <w:rPr>
                <w:rFonts w:hint="eastAsia" w:ascii="宋体" w:hAnsi="宋体" w:eastAsia="宋体" w:cs="宋体"/>
                <w:sz w:val="24"/>
                <w:szCs w:val="24"/>
              </w:rPr>
            </w:pPr>
          </w:p>
        </w:tc>
        <w:tc>
          <w:tcPr>
            <w:tcW w:w="532" w:type="pct"/>
            <w:tcMar>
              <w:top w:w="0" w:type="dxa"/>
              <w:left w:w="105" w:type="dxa"/>
              <w:bottom w:w="0" w:type="dxa"/>
              <w:right w:w="105" w:type="dxa"/>
            </w:tcMar>
            <w:vAlign w:val="top"/>
          </w:tcPr>
          <w:p w14:paraId="0DA9A021">
            <w:pPr>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3227A192">
            <w:pPr>
              <w:rPr>
                <w:rFonts w:hint="eastAsia" w:ascii="宋体" w:hAnsi="宋体" w:eastAsia="宋体" w:cs="宋体"/>
                <w:sz w:val="24"/>
                <w:szCs w:val="24"/>
              </w:rPr>
            </w:pPr>
          </w:p>
        </w:tc>
      </w:tr>
      <w:tr w14:paraId="65A8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Mar>
              <w:top w:w="0" w:type="dxa"/>
              <w:left w:w="105" w:type="dxa"/>
              <w:bottom w:w="0" w:type="dxa"/>
              <w:right w:w="105" w:type="dxa"/>
            </w:tcMar>
            <w:vAlign w:val="center"/>
          </w:tcPr>
          <w:p w14:paraId="1818E110">
            <w:pPr>
              <w:pStyle w:val="13"/>
              <w:jc w:val="both"/>
              <w:rPr>
                <w:rFonts w:hint="eastAsia" w:ascii="宋体" w:hAnsi="宋体" w:eastAsia="宋体" w:cs="宋体"/>
                <w:sz w:val="24"/>
                <w:szCs w:val="24"/>
              </w:rPr>
            </w:pPr>
            <w:r>
              <w:rPr>
                <w:rFonts w:hint="eastAsia" w:ascii="宋体" w:hAnsi="宋体" w:eastAsia="宋体" w:cs="宋体"/>
                <w:color w:val="000000"/>
                <w:sz w:val="24"/>
                <w:szCs w:val="24"/>
              </w:rPr>
              <w:t>跟踪随访</w:t>
            </w:r>
          </w:p>
        </w:tc>
        <w:tc>
          <w:tcPr>
            <w:tcW w:w="354" w:type="pct"/>
            <w:tcMar>
              <w:top w:w="0" w:type="dxa"/>
              <w:left w:w="105" w:type="dxa"/>
              <w:bottom w:w="0" w:type="dxa"/>
              <w:right w:w="105" w:type="dxa"/>
            </w:tcMar>
            <w:vAlign w:val="center"/>
          </w:tcPr>
          <w:p w14:paraId="3D4C8291">
            <w:pPr>
              <w:pStyle w:val="13"/>
              <w:jc w:val="both"/>
              <w:rPr>
                <w:rFonts w:hint="eastAsia" w:ascii="宋体" w:hAnsi="宋体" w:eastAsia="宋体" w:cs="宋体"/>
                <w:sz w:val="24"/>
                <w:szCs w:val="24"/>
              </w:rPr>
            </w:pPr>
            <w:r>
              <w:rPr>
                <w:rFonts w:hint="eastAsia" w:ascii="宋体" w:hAnsi="宋体" w:eastAsia="宋体" w:cs="宋体"/>
                <w:color w:val="000000"/>
                <w:sz w:val="24"/>
                <w:szCs w:val="24"/>
              </w:rPr>
              <w:t>10</w:t>
            </w:r>
          </w:p>
        </w:tc>
        <w:tc>
          <w:tcPr>
            <w:tcW w:w="2154" w:type="pct"/>
            <w:tcMar>
              <w:top w:w="0" w:type="dxa"/>
              <w:left w:w="105" w:type="dxa"/>
              <w:bottom w:w="0" w:type="dxa"/>
              <w:right w:w="105" w:type="dxa"/>
            </w:tcMar>
            <w:vAlign w:val="center"/>
          </w:tcPr>
          <w:p w14:paraId="058E0A12">
            <w:pPr>
              <w:pStyle w:val="13"/>
              <w:jc w:val="both"/>
              <w:rPr>
                <w:rFonts w:hint="eastAsia" w:ascii="宋体" w:hAnsi="宋体" w:eastAsia="宋体" w:cs="宋体"/>
                <w:sz w:val="24"/>
                <w:szCs w:val="24"/>
              </w:rPr>
            </w:pPr>
            <w:r>
              <w:rPr>
                <w:rFonts w:hint="eastAsia" w:ascii="宋体" w:hAnsi="宋体" w:eastAsia="宋体" w:cs="宋体"/>
                <w:color w:val="000000"/>
                <w:sz w:val="24"/>
                <w:szCs w:val="24"/>
              </w:rPr>
              <w:t>供货商能主动到饭堂随访，倾听饭堂意见，根据随访频率得10-6</w:t>
            </w:r>
            <w:r>
              <w:rPr>
                <w:rFonts w:hint="eastAsia" w:ascii="宋体" w:hAnsi="宋体" w:eastAsia="宋体" w:cs="宋体"/>
                <w:sz w:val="24"/>
                <w:szCs w:val="24"/>
              </w:rPr>
              <w:t xml:space="preserve"> 分，在供货过程中发生情况能与饭堂及时联系并妥善处理，根据处理情况得5-0 分。</w:t>
            </w:r>
          </w:p>
        </w:tc>
        <w:tc>
          <w:tcPr>
            <w:tcW w:w="451" w:type="pct"/>
            <w:tcMar>
              <w:top w:w="0" w:type="dxa"/>
              <w:left w:w="105" w:type="dxa"/>
              <w:bottom w:w="0" w:type="dxa"/>
              <w:right w:w="105" w:type="dxa"/>
            </w:tcMar>
            <w:vAlign w:val="top"/>
          </w:tcPr>
          <w:p w14:paraId="7D64A950">
            <w:pPr>
              <w:pStyle w:val="13"/>
              <w:jc w:val="both"/>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272179C6">
            <w:pPr>
              <w:rPr>
                <w:rFonts w:hint="eastAsia" w:ascii="宋体" w:hAnsi="宋体" w:eastAsia="宋体" w:cs="宋体"/>
                <w:sz w:val="24"/>
                <w:szCs w:val="24"/>
              </w:rPr>
            </w:pPr>
          </w:p>
        </w:tc>
        <w:tc>
          <w:tcPr>
            <w:tcW w:w="532" w:type="pct"/>
            <w:tcMar>
              <w:top w:w="0" w:type="dxa"/>
              <w:left w:w="105" w:type="dxa"/>
              <w:bottom w:w="0" w:type="dxa"/>
              <w:right w:w="105" w:type="dxa"/>
            </w:tcMar>
            <w:vAlign w:val="top"/>
          </w:tcPr>
          <w:p w14:paraId="6B88D9C9">
            <w:pPr>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0F329A8C">
            <w:pPr>
              <w:rPr>
                <w:rFonts w:hint="eastAsia" w:ascii="宋体" w:hAnsi="宋体" w:eastAsia="宋体" w:cs="宋体"/>
                <w:sz w:val="24"/>
                <w:szCs w:val="24"/>
              </w:rPr>
            </w:pPr>
          </w:p>
        </w:tc>
      </w:tr>
      <w:tr w14:paraId="4813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Mar>
              <w:top w:w="0" w:type="dxa"/>
              <w:left w:w="105" w:type="dxa"/>
              <w:bottom w:w="0" w:type="dxa"/>
              <w:right w:w="105" w:type="dxa"/>
            </w:tcMar>
            <w:vAlign w:val="center"/>
          </w:tcPr>
          <w:p w14:paraId="0E4BA23C">
            <w:pPr>
              <w:pStyle w:val="13"/>
              <w:jc w:val="both"/>
              <w:rPr>
                <w:rFonts w:hint="eastAsia" w:ascii="宋体" w:hAnsi="宋体" w:eastAsia="宋体" w:cs="宋体"/>
                <w:sz w:val="24"/>
                <w:szCs w:val="24"/>
              </w:rPr>
            </w:pPr>
            <w:r>
              <w:rPr>
                <w:rFonts w:hint="eastAsia" w:ascii="宋体" w:hAnsi="宋体" w:eastAsia="宋体" w:cs="宋体"/>
                <w:color w:val="000000"/>
                <w:sz w:val="24"/>
                <w:szCs w:val="24"/>
              </w:rPr>
              <w:t>检测资料</w:t>
            </w:r>
          </w:p>
        </w:tc>
        <w:tc>
          <w:tcPr>
            <w:tcW w:w="354" w:type="pct"/>
            <w:tcMar>
              <w:top w:w="0" w:type="dxa"/>
              <w:left w:w="105" w:type="dxa"/>
              <w:bottom w:w="0" w:type="dxa"/>
              <w:right w:w="105" w:type="dxa"/>
            </w:tcMar>
            <w:vAlign w:val="center"/>
          </w:tcPr>
          <w:p w14:paraId="02B8DB02">
            <w:pPr>
              <w:pStyle w:val="13"/>
              <w:jc w:val="both"/>
              <w:rPr>
                <w:rFonts w:hint="eastAsia" w:ascii="宋体" w:hAnsi="宋体" w:eastAsia="宋体" w:cs="宋体"/>
                <w:sz w:val="24"/>
                <w:szCs w:val="24"/>
              </w:rPr>
            </w:pPr>
            <w:r>
              <w:rPr>
                <w:rFonts w:hint="eastAsia" w:ascii="宋体" w:hAnsi="宋体" w:eastAsia="宋体" w:cs="宋体"/>
                <w:color w:val="000000"/>
                <w:sz w:val="24"/>
                <w:szCs w:val="24"/>
              </w:rPr>
              <w:t>10</w:t>
            </w:r>
          </w:p>
        </w:tc>
        <w:tc>
          <w:tcPr>
            <w:tcW w:w="2154" w:type="pct"/>
            <w:tcMar>
              <w:top w:w="0" w:type="dxa"/>
              <w:left w:w="105" w:type="dxa"/>
              <w:bottom w:w="0" w:type="dxa"/>
              <w:right w:w="105" w:type="dxa"/>
            </w:tcMar>
            <w:vAlign w:val="center"/>
          </w:tcPr>
          <w:p w14:paraId="459CA359">
            <w:pPr>
              <w:pStyle w:val="13"/>
              <w:jc w:val="both"/>
              <w:rPr>
                <w:rFonts w:hint="eastAsia" w:ascii="宋体" w:hAnsi="宋体" w:eastAsia="宋体" w:cs="宋体"/>
                <w:sz w:val="24"/>
                <w:szCs w:val="24"/>
              </w:rPr>
            </w:pPr>
            <w:r>
              <w:rPr>
                <w:rFonts w:hint="eastAsia" w:ascii="宋体" w:hAnsi="宋体" w:eastAsia="宋体" w:cs="宋体"/>
                <w:color w:val="000000"/>
                <w:sz w:val="24"/>
                <w:szCs w:val="24"/>
              </w:rPr>
              <w:t>一次不漏地向食堂提供有关商品的检测资料得10-8分；偶尔遗漏，及时补交的7－5分，遗漏2次/季度的5分以下。</w:t>
            </w:r>
          </w:p>
        </w:tc>
        <w:tc>
          <w:tcPr>
            <w:tcW w:w="451" w:type="pct"/>
            <w:tcMar>
              <w:top w:w="0" w:type="dxa"/>
              <w:left w:w="105" w:type="dxa"/>
              <w:bottom w:w="0" w:type="dxa"/>
              <w:right w:w="105" w:type="dxa"/>
            </w:tcMar>
            <w:vAlign w:val="top"/>
          </w:tcPr>
          <w:p w14:paraId="6088C840">
            <w:pPr>
              <w:pStyle w:val="13"/>
              <w:jc w:val="both"/>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61978342">
            <w:pPr>
              <w:rPr>
                <w:rFonts w:hint="eastAsia" w:ascii="宋体" w:hAnsi="宋体" w:eastAsia="宋体" w:cs="宋体"/>
                <w:sz w:val="24"/>
                <w:szCs w:val="24"/>
              </w:rPr>
            </w:pPr>
          </w:p>
        </w:tc>
        <w:tc>
          <w:tcPr>
            <w:tcW w:w="532" w:type="pct"/>
            <w:tcMar>
              <w:top w:w="0" w:type="dxa"/>
              <w:left w:w="105" w:type="dxa"/>
              <w:bottom w:w="0" w:type="dxa"/>
              <w:right w:w="105" w:type="dxa"/>
            </w:tcMar>
            <w:vAlign w:val="top"/>
          </w:tcPr>
          <w:p w14:paraId="03EF066B">
            <w:pPr>
              <w:rPr>
                <w:rFonts w:hint="eastAsia" w:ascii="宋体" w:hAnsi="宋体" w:eastAsia="宋体" w:cs="宋体"/>
                <w:sz w:val="24"/>
                <w:szCs w:val="24"/>
              </w:rPr>
            </w:pPr>
          </w:p>
        </w:tc>
        <w:tc>
          <w:tcPr>
            <w:tcW w:w="451" w:type="pct"/>
            <w:tcMar>
              <w:top w:w="0" w:type="dxa"/>
              <w:left w:w="105" w:type="dxa"/>
              <w:bottom w:w="0" w:type="dxa"/>
              <w:right w:w="105" w:type="dxa"/>
            </w:tcMar>
            <w:vAlign w:val="top"/>
          </w:tcPr>
          <w:p w14:paraId="439FDD39">
            <w:pPr>
              <w:rPr>
                <w:rFonts w:hint="eastAsia" w:ascii="宋体" w:hAnsi="宋体" w:eastAsia="宋体" w:cs="宋体"/>
                <w:sz w:val="24"/>
                <w:szCs w:val="24"/>
              </w:rPr>
            </w:pPr>
          </w:p>
        </w:tc>
      </w:tr>
      <w:tr w14:paraId="7085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pct"/>
            <w:gridSpan w:val="2"/>
            <w:vMerge w:val="restart"/>
            <w:tcMar>
              <w:top w:w="0" w:type="dxa"/>
              <w:left w:w="105" w:type="dxa"/>
              <w:bottom w:w="0" w:type="dxa"/>
              <w:right w:w="105" w:type="dxa"/>
            </w:tcMar>
            <w:vAlign w:val="center"/>
          </w:tcPr>
          <w:p w14:paraId="41D58DCE">
            <w:pPr>
              <w:pStyle w:val="13"/>
              <w:jc w:val="center"/>
              <w:rPr>
                <w:rFonts w:hint="eastAsia" w:ascii="宋体" w:hAnsi="宋体" w:eastAsia="宋体" w:cs="宋体"/>
                <w:sz w:val="24"/>
                <w:szCs w:val="24"/>
              </w:rPr>
            </w:pPr>
            <w:r>
              <w:rPr>
                <w:rFonts w:hint="eastAsia" w:ascii="宋体" w:hAnsi="宋体" w:eastAsia="宋体" w:cs="宋体"/>
                <w:sz w:val="24"/>
                <w:szCs w:val="24"/>
              </w:rPr>
              <w:t>一票否决项</w:t>
            </w:r>
          </w:p>
        </w:tc>
        <w:tc>
          <w:tcPr>
            <w:tcW w:w="4040" w:type="pct"/>
            <w:gridSpan w:val="5"/>
            <w:tcMar>
              <w:top w:w="0" w:type="dxa"/>
              <w:left w:w="105" w:type="dxa"/>
              <w:bottom w:w="0" w:type="dxa"/>
              <w:right w:w="105" w:type="dxa"/>
            </w:tcMar>
            <w:vAlign w:val="top"/>
          </w:tcPr>
          <w:p w14:paraId="32F76553">
            <w:pPr>
              <w:pStyle w:val="13"/>
              <w:jc w:val="both"/>
              <w:rPr>
                <w:rFonts w:hint="eastAsia" w:ascii="宋体" w:hAnsi="宋体" w:eastAsia="宋体" w:cs="宋体"/>
                <w:sz w:val="24"/>
                <w:szCs w:val="24"/>
              </w:rPr>
            </w:pPr>
            <w:r>
              <w:rPr>
                <w:rFonts w:hint="eastAsia" w:ascii="宋体" w:hAnsi="宋体" w:eastAsia="宋体" w:cs="宋体"/>
                <w:sz w:val="24"/>
                <w:szCs w:val="24"/>
              </w:rPr>
              <w:t>1、食堂发现假冒伪劣、腐败变质、三无产品；</w:t>
            </w:r>
          </w:p>
        </w:tc>
      </w:tr>
      <w:tr w14:paraId="69FA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pct"/>
            <w:gridSpan w:val="2"/>
            <w:vMerge w:val="continue"/>
          </w:tcPr>
          <w:p w14:paraId="08B63746">
            <w:pPr>
              <w:rPr>
                <w:rFonts w:hint="eastAsia" w:ascii="宋体" w:hAnsi="宋体" w:eastAsia="宋体" w:cs="宋体"/>
                <w:sz w:val="24"/>
                <w:szCs w:val="24"/>
              </w:rPr>
            </w:pPr>
          </w:p>
        </w:tc>
        <w:tc>
          <w:tcPr>
            <w:tcW w:w="4040" w:type="pct"/>
            <w:gridSpan w:val="5"/>
            <w:tcMar>
              <w:top w:w="0" w:type="dxa"/>
              <w:left w:w="105" w:type="dxa"/>
              <w:bottom w:w="0" w:type="dxa"/>
              <w:right w:w="105" w:type="dxa"/>
            </w:tcMar>
            <w:vAlign w:val="top"/>
          </w:tcPr>
          <w:p w14:paraId="12DA4E05">
            <w:pPr>
              <w:pStyle w:val="13"/>
              <w:jc w:val="both"/>
              <w:rPr>
                <w:rFonts w:hint="eastAsia" w:ascii="宋体" w:hAnsi="宋体" w:eastAsia="宋体" w:cs="宋体"/>
                <w:sz w:val="24"/>
                <w:szCs w:val="24"/>
              </w:rPr>
            </w:pPr>
            <w:r>
              <w:rPr>
                <w:rFonts w:hint="eastAsia" w:ascii="宋体" w:hAnsi="宋体" w:eastAsia="宋体" w:cs="宋体"/>
                <w:sz w:val="24"/>
                <w:szCs w:val="24"/>
              </w:rPr>
              <w:t>2、商品由他人代送，经整改无效；</w:t>
            </w:r>
          </w:p>
        </w:tc>
      </w:tr>
      <w:tr w14:paraId="7DC9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pct"/>
            <w:gridSpan w:val="2"/>
            <w:vMerge w:val="continue"/>
          </w:tcPr>
          <w:p w14:paraId="59C923CF">
            <w:pPr>
              <w:rPr>
                <w:rFonts w:hint="eastAsia" w:ascii="宋体" w:hAnsi="宋体" w:eastAsia="宋体" w:cs="宋体"/>
                <w:sz w:val="24"/>
                <w:szCs w:val="24"/>
              </w:rPr>
            </w:pPr>
          </w:p>
        </w:tc>
        <w:tc>
          <w:tcPr>
            <w:tcW w:w="4040" w:type="pct"/>
            <w:gridSpan w:val="5"/>
            <w:tcMar>
              <w:top w:w="0" w:type="dxa"/>
              <w:left w:w="105" w:type="dxa"/>
              <w:bottom w:w="0" w:type="dxa"/>
              <w:right w:w="105" w:type="dxa"/>
            </w:tcMar>
            <w:vAlign w:val="top"/>
          </w:tcPr>
          <w:p w14:paraId="43AFE1BB">
            <w:pPr>
              <w:pStyle w:val="13"/>
              <w:jc w:val="both"/>
              <w:rPr>
                <w:rFonts w:hint="eastAsia" w:ascii="宋体" w:hAnsi="宋体" w:eastAsia="宋体" w:cs="宋体"/>
                <w:sz w:val="24"/>
                <w:szCs w:val="24"/>
                <w:lang w:eastAsia="zh-CN"/>
              </w:rPr>
            </w:pPr>
            <w:r>
              <w:rPr>
                <w:rFonts w:hint="eastAsia" w:ascii="宋体" w:hAnsi="宋体" w:eastAsia="宋体" w:cs="宋体"/>
                <w:sz w:val="24"/>
                <w:szCs w:val="24"/>
              </w:rPr>
              <w:t>3、有勾结、贿赂验收人员行为</w:t>
            </w:r>
            <w:r>
              <w:rPr>
                <w:rFonts w:hint="eastAsia" w:ascii="宋体" w:hAnsi="宋体" w:eastAsia="宋体" w:cs="宋体"/>
                <w:sz w:val="24"/>
                <w:szCs w:val="24"/>
                <w:lang w:eastAsia="zh-CN"/>
              </w:rPr>
              <w:t>；</w:t>
            </w:r>
          </w:p>
        </w:tc>
      </w:tr>
      <w:tr w14:paraId="2856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pct"/>
            <w:gridSpan w:val="2"/>
            <w:vMerge w:val="continue"/>
          </w:tcPr>
          <w:p w14:paraId="646D62DB">
            <w:pPr>
              <w:rPr>
                <w:rFonts w:hint="eastAsia" w:ascii="宋体" w:hAnsi="宋体" w:eastAsia="宋体" w:cs="宋体"/>
                <w:sz w:val="24"/>
                <w:szCs w:val="24"/>
              </w:rPr>
            </w:pPr>
          </w:p>
        </w:tc>
        <w:tc>
          <w:tcPr>
            <w:tcW w:w="4040" w:type="pct"/>
            <w:gridSpan w:val="5"/>
            <w:tcMar>
              <w:top w:w="0" w:type="dxa"/>
              <w:left w:w="105" w:type="dxa"/>
              <w:bottom w:w="0" w:type="dxa"/>
              <w:right w:w="105" w:type="dxa"/>
            </w:tcMar>
            <w:vAlign w:val="top"/>
          </w:tcPr>
          <w:p w14:paraId="0A5FBE7D">
            <w:pPr>
              <w:pStyle w:val="13"/>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、要求检测的商品未经检测，且未按要求限时整改。</w:t>
            </w:r>
          </w:p>
        </w:tc>
      </w:tr>
      <w:tr w14:paraId="05EF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8" w:type="pct"/>
            <w:gridSpan w:val="6"/>
            <w:tcMar>
              <w:top w:w="0" w:type="dxa"/>
              <w:left w:w="105" w:type="dxa"/>
              <w:bottom w:w="0" w:type="dxa"/>
              <w:right w:w="105" w:type="dxa"/>
            </w:tcMar>
            <w:vAlign w:val="top"/>
          </w:tcPr>
          <w:p w14:paraId="2AAAFE49">
            <w:pPr>
              <w:pStyle w:val="13"/>
              <w:jc w:val="center"/>
              <w:rPr>
                <w:rFonts w:hint="eastAsia" w:ascii="宋体" w:hAnsi="宋体" w:eastAsia="宋体" w:cs="宋体"/>
                <w:sz w:val="24"/>
                <w:szCs w:val="24"/>
              </w:rPr>
            </w:pPr>
            <w:r>
              <w:rPr>
                <w:rFonts w:hint="eastAsia" w:ascii="宋体" w:hAnsi="宋体" w:eastAsia="宋体" w:cs="宋体"/>
                <w:sz w:val="24"/>
                <w:szCs w:val="24"/>
              </w:rPr>
              <w:t>总分</w:t>
            </w:r>
          </w:p>
        </w:tc>
        <w:tc>
          <w:tcPr>
            <w:tcW w:w="451" w:type="pct"/>
            <w:tcMar>
              <w:top w:w="0" w:type="dxa"/>
              <w:left w:w="105" w:type="dxa"/>
              <w:bottom w:w="0" w:type="dxa"/>
              <w:right w:w="105" w:type="dxa"/>
            </w:tcMar>
            <w:vAlign w:val="top"/>
          </w:tcPr>
          <w:p w14:paraId="4D2506C1">
            <w:pPr>
              <w:pStyle w:val="13"/>
              <w:jc w:val="both"/>
              <w:rPr>
                <w:rFonts w:hint="eastAsia" w:ascii="宋体" w:hAnsi="宋体" w:eastAsia="宋体" w:cs="宋体"/>
                <w:sz w:val="24"/>
                <w:szCs w:val="24"/>
              </w:rPr>
            </w:pPr>
          </w:p>
        </w:tc>
      </w:tr>
      <w:tr w14:paraId="4C50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pct"/>
            <w:gridSpan w:val="3"/>
            <w:tcMar>
              <w:top w:w="0" w:type="dxa"/>
              <w:left w:w="105" w:type="dxa"/>
              <w:bottom w:w="0" w:type="dxa"/>
              <w:right w:w="105" w:type="dxa"/>
            </w:tcMar>
            <w:vAlign w:val="top"/>
          </w:tcPr>
          <w:p w14:paraId="682EA7C9">
            <w:pPr>
              <w:pStyle w:val="13"/>
              <w:jc w:val="center"/>
              <w:rPr>
                <w:rFonts w:hint="eastAsia" w:ascii="宋体" w:hAnsi="宋体" w:eastAsia="宋体" w:cs="宋体"/>
                <w:sz w:val="24"/>
                <w:szCs w:val="24"/>
              </w:rPr>
            </w:pPr>
            <w:r>
              <w:rPr>
                <w:rFonts w:hint="eastAsia" w:ascii="宋体" w:hAnsi="宋体" w:eastAsia="宋体" w:cs="宋体"/>
                <w:color w:val="000000"/>
                <w:sz w:val="24"/>
                <w:szCs w:val="24"/>
              </w:rPr>
              <w:t>考核结果</w:t>
            </w:r>
          </w:p>
        </w:tc>
        <w:tc>
          <w:tcPr>
            <w:tcW w:w="451" w:type="pct"/>
            <w:tcMar>
              <w:top w:w="0" w:type="dxa"/>
              <w:left w:w="105" w:type="dxa"/>
              <w:bottom w:w="0" w:type="dxa"/>
              <w:right w:w="105" w:type="dxa"/>
            </w:tcMar>
            <w:vAlign w:val="top"/>
          </w:tcPr>
          <w:p w14:paraId="3F0726E1">
            <w:pPr>
              <w:pStyle w:val="13"/>
              <w:jc w:val="both"/>
              <w:rPr>
                <w:rFonts w:hint="eastAsia" w:ascii="宋体" w:hAnsi="宋体" w:eastAsia="宋体" w:cs="宋体"/>
                <w:sz w:val="24"/>
                <w:szCs w:val="24"/>
              </w:rPr>
            </w:pPr>
            <w:r>
              <w:rPr>
                <w:rFonts w:hint="eastAsia" w:ascii="宋体" w:hAnsi="宋体" w:eastAsia="宋体" w:cs="宋体"/>
                <w:color w:val="000000"/>
                <w:sz w:val="24"/>
                <w:szCs w:val="24"/>
              </w:rPr>
              <w:t>合格</w:t>
            </w:r>
          </w:p>
        </w:tc>
        <w:tc>
          <w:tcPr>
            <w:tcW w:w="451" w:type="pct"/>
            <w:tcMar>
              <w:top w:w="0" w:type="dxa"/>
              <w:left w:w="105" w:type="dxa"/>
              <w:bottom w:w="0" w:type="dxa"/>
              <w:right w:w="105" w:type="dxa"/>
            </w:tcMar>
            <w:vAlign w:val="top"/>
          </w:tcPr>
          <w:p w14:paraId="1E17EDC9">
            <w:pPr>
              <w:pStyle w:val="13"/>
              <w:jc w:val="both"/>
              <w:rPr>
                <w:rFonts w:hint="eastAsia" w:ascii="宋体" w:hAnsi="宋体" w:eastAsia="宋体" w:cs="宋体"/>
                <w:sz w:val="24"/>
                <w:szCs w:val="24"/>
              </w:rPr>
            </w:pPr>
          </w:p>
        </w:tc>
        <w:tc>
          <w:tcPr>
            <w:tcW w:w="532" w:type="pct"/>
            <w:tcMar>
              <w:top w:w="0" w:type="dxa"/>
              <w:left w:w="105" w:type="dxa"/>
              <w:bottom w:w="0" w:type="dxa"/>
              <w:right w:w="105" w:type="dxa"/>
            </w:tcMar>
            <w:vAlign w:val="top"/>
          </w:tcPr>
          <w:p w14:paraId="3CF7B12B">
            <w:pPr>
              <w:pStyle w:val="13"/>
              <w:jc w:val="both"/>
              <w:rPr>
                <w:rFonts w:hint="eastAsia" w:ascii="宋体" w:hAnsi="宋体" w:eastAsia="宋体" w:cs="宋体"/>
                <w:sz w:val="24"/>
                <w:szCs w:val="24"/>
              </w:rPr>
            </w:pPr>
            <w:r>
              <w:rPr>
                <w:rFonts w:hint="eastAsia" w:ascii="宋体" w:hAnsi="宋体" w:eastAsia="宋体" w:cs="宋体"/>
                <w:color w:val="000000"/>
                <w:sz w:val="24"/>
                <w:szCs w:val="24"/>
              </w:rPr>
              <w:t>不合格</w:t>
            </w:r>
          </w:p>
        </w:tc>
        <w:tc>
          <w:tcPr>
            <w:tcW w:w="451" w:type="pct"/>
            <w:tcMar>
              <w:top w:w="0" w:type="dxa"/>
              <w:left w:w="105" w:type="dxa"/>
              <w:bottom w:w="0" w:type="dxa"/>
              <w:right w:w="105" w:type="dxa"/>
            </w:tcMar>
            <w:vAlign w:val="top"/>
          </w:tcPr>
          <w:p w14:paraId="7C64067F">
            <w:pPr>
              <w:pStyle w:val="13"/>
              <w:jc w:val="both"/>
              <w:rPr>
                <w:rFonts w:hint="eastAsia" w:ascii="宋体" w:hAnsi="宋体" w:eastAsia="宋体" w:cs="宋体"/>
                <w:sz w:val="24"/>
                <w:szCs w:val="24"/>
              </w:rPr>
            </w:pPr>
          </w:p>
        </w:tc>
      </w:tr>
    </w:tbl>
    <w:p w14:paraId="7BF80D6E">
      <w:pPr>
        <w:pStyle w:val="13"/>
        <w:spacing w:line="360" w:lineRule="auto"/>
        <w:jc w:val="both"/>
        <w:rPr>
          <w:sz w:val="24"/>
          <w:szCs w:val="24"/>
        </w:rPr>
      </w:pPr>
      <w:r>
        <w:rPr>
          <w:color w:val="000000"/>
          <w:sz w:val="24"/>
          <w:szCs w:val="24"/>
        </w:rPr>
        <w:t>甲方考核员：               甲方主管审核：               乙方确认：</w:t>
      </w:r>
    </w:p>
    <w:p w14:paraId="33D2B809">
      <w:pPr>
        <w:pStyle w:val="13"/>
        <w:spacing w:line="360" w:lineRule="auto"/>
        <w:jc w:val="both"/>
        <w:outlineLvl w:val="1"/>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rPr>
        <w:t>十</w:t>
      </w:r>
      <w:r>
        <w:rPr>
          <w:rFonts w:hint="eastAsia" w:ascii="宋体" w:hAnsi="宋体" w:eastAsia="宋体" w:cs="宋体"/>
          <w:b/>
          <w:color w:val="000000"/>
          <w:sz w:val="24"/>
          <w:szCs w:val="24"/>
          <w:lang w:val="en-US" w:eastAsia="zh-CN"/>
        </w:rPr>
        <w:t>一</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履约保证金</w:t>
      </w:r>
    </w:p>
    <w:p w14:paraId="45C4DBBC">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中标人与采购人签订合同后15个工作日内，向采购人提交无条件、不可撤销、由在中国注册的银行出具的合同总价5％的银行履约保函。若中标人没有违约行为，履约保证函在本服务合同期满30天后自动失效。下列任何一种情况发生时，采购人有权不予退还履约保证金：（一）有明显证据证明中标人未履行本合同约定的；（二）中标人有明显过错致采购人造成损失的。</w:t>
      </w:r>
    </w:p>
    <w:p w14:paraId="27E3AF12">
      <w:pPr>
        <w:pStyle w:val="13"/>
        <w:spacing w:line="360" w:lineRule="auto"/>
        <w:jc w:val="both"/>
        <w:outlineLvl w:val="1"/>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rPr>
        <w:t>十</w:t>
      </w:r>
      <w:r>
        <w:rPr>
          <w:rFonts w:hint="eastAsia" w:ascii="宋体" w:hAnsi="宋体" w:eastAsia="宋体" w:cs="宋体"/>
          <w:b/>
          <w:color w:val="000000"/>
          <w:sz w:val="24"/>
          <w:szCs w:val="24"/>
          <w:lang w:val="en-US" w:eastAsia="zh-CN"/>
        </w:rPr>
        <w:t>二</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付款方式</w:t>
      </w:r>
    </w:p>
    <w:p w14:paraId="393C3DE5">
      <w:pPr>
        <w:pStyle w:val="1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结算公式：结算金额=执行结算基准价×（1-中标下浮率（优惠率））×当月实际供货量</w:t>
      </w:r>
      <w:r>
        <w:rPr>
          <w:rFonts w:hint="eastAsia" w:ascii="宋体" w:hAnsi="宋体" w:eastAsia="宋体" w:cs="宋体"/>
          <w:sz w:val="24"/>
          <w:szCs w:val="24"/>
          <w:lang w:eastAsia="zh-CN"/>
        </w:rPr>
        <w:t>。</w:t>
      </w:r>
    </w:p>
    <w:p w14:paraId="60BC4DA3">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每月据实结算一次。中标人完成当月供货订单后，于次月15日前凭国家正式发票及经采购人确认的送货清单、合同（首次支付需要）、中标通知书（首次支付需要）以及双方确认的月度考核评分表，向采购人申请付款，采购人收到申请核对无误后在5个工作日内开始办理上月所有货款支付手续。</w:t>
      </w:r>
    </w:p>
    <w:p w14:paraId="4E620808"/>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3AC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3A56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A3A56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B53ED"/>
    <w:rsid w:val="09111C85"/>
    <w:rsid w:val="0A193C90"/>
    <w:rsid w:val="0E7F1186"/>
    <w:rsid w:val="1046096E"/>
    <w:rsid w:val="14042223"/>
    <w:rsid w:val="14680FAC"/>
    <w:rsid w:val="17DF3416"/>
    <w:rsid w:val="1F3211FE"/>
    <w:rsid w:val="23970AF1"/>
    <w:rsid w:val="30540DFD"/>
    <w:rsid w:val="32F80037"/>
    <w:rsid w:val="39413FF4"/>
    <w:rsid w:val="3AA73D50"/>
    <w:rsid w:val="3CC44440"/>
    <w:rsid w:val="3D695DB9"/>
    <w:rsid w:val="3FBA0B4E"/>
    <w:rsid w:val="433D3DDB"/>
    <w:rsid w:val="48EB621C"/>
    <w:rsid w:val="491051FD"/>
    <w:rsid w:val="4A7A4110"/>
    <w:rsid w:val="4CE0374E"/>
    <w:rsid w:val="550B5550"/>
    <w:rsid w:val="595E0056"/>
    <w:rsid w:val="5AF00C09"/>
    <w:rsid w:val="5E2F405E"/>
    <w:rsid w:val="61E433B1"/>
    <w:rsid w:val="652C7549"/>
    <w:rsid w:val="6BA56357"/>
    <w:rsid w:val="6D462696"/>
    <w:rsid w:val="6FD809F9"/>
    <w:rsid w:val="721574DF"/>
    <w:rsid w:val="72D97494"/>
    <w:rsid w:val="77976AA4"/>
    <w:rsid w:val="77EF4B32"/>
    <w:rsid w:val="7D885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line="360" w:lineRule="auto"/>
    </w:pPr>
    <w:rPr>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unhideWhenUsed/>
    <w:qFormat/>
    <w:uiPriority w:val="99"/>
    <w:pPr>
      <w:spacing w:after="120"/>
      <w:ind w:left="420" w:leftChars="200"/>
    </w:pPr>
    <w:rPr>
      <w:rFonts w:cs="Times New Roman"/>
      <w:sz w:val="16"/>
      <w:szCs w:val="16"/>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FollowedHyperlink"/>
    <w:basedOn w:val="10"/>
    <w:qFormat/>
    <w:uiPriority w:val="0"/>
    <w:rPr>
      <w:rFonts w:hint="eastAsia" w:ascii="微软雅黑" w:hAnsi="微软雅黑" w:eastAsia="微软雅黑" w:cs="微软雅黑"/>
      <w:color w:val="02396F"/>
      <w:u w:val="single"/>
    </w:rPr>
  </w:style>
  <w:style w:type="character" w:styleId="12">
    <w:name w:val="Hyperlink"/>
    <w:basedOn w:val="10"/>
    <w:qFormat/>
    <w:uiPriority w:val="0"/>
    <w:rPr>
      <w:rFonts w:hint="eastAsia" w:ascii="微软雅黑" w:hAnsi="微软雅黑" w:eastAsia="微软雅黑" w:cs="微软雅黑"/>
      <w:color w:val="02396F"/>
      <w:u w:val="single"/>
    </w:rPr>
  </w:style>
  <w:style w:type="paragraph" w:customStyle="1" w:styleId="13">
    <w:name w:val="null3"/>
    <w:hidden/>
    <w:qFormat/>
    <w:uiPriority w:val="0"/>
    <w:rPr>
      <w:rFonts w:hint="eastAsia" w:asciiTheme="minorHAnsi" w:hAnsiTheme="minorHAnsi" w:eastAsiaTheme="minorEastAsia" w:cstheme="minorBidi"/>
      <w:lang w:val="en-US" w:eastAsia="zh-CN" w:bidi="ar-SA"/>
    </w:rPr>
  </w:style>
  <w:style w:type="paragraph" w:styleId="14">
    <w:name w:val="List Paragraph"/>
    <w:basedOn w:val="1"/>
    <w:autoRedefine/>
    <w:qFormat/>
    <w:uiPriority w:val="0"/>
    <w:pPr>
      <w:adjustRightInd w:val="0"/>
      <w:spacing w:line="360" w:lineRule="atLeast"/>
      <w:ind w:firstLine="420" w:firstLineChars="200"/>
    </w:pPr>
    <w:rPr>
      <w:rFonts w:ascii="Times New Roman" w:hAnsi="Times New Roman"/>
      <w:szCs w:val="24"/>
    </w:rPr>
  </w:style>
  <w:style w:type="character" w:customStyle="1" w:styleId="15">
    <w:name w:val="qxdate"/>
    <w:basedOn w:val="10"/>
    <w:qFormat/>
    <w:uiPriority w:val="0"/>
    <w:rPr>
      <w:color w:val="333333"/>
      <w:sz w:val="18"/>
      <w:szCs w:val="18"/>
    </w:rPr>
  </w:style>
  <w:style w:type="character" w:customStyle="1" w:styleId="16">
    <w:name w:val="next"/>
    <w:basedOn w:val="10"/>
    <w:qFormat/>
    <w:uiPriority w:val="0"/>
    <w:rPr>
      <w:rFonts w:ascii="微软雅黑" w:hAnsi="微软雅黑" w:eastAsia="微软雅黑" w:cs="微软雅黑"/>
      <w:sz w:val="21"/>
      <w:szCs w:val="21"/>
    </w:rPr>
  </w:style>
  <w:style w:type="character" w:customStyle="1" w:styleId="17">
    <w:name w:val="next1"/>
    <w:basedOn w:val="10"/>
    <w:qFormat/>
    <w:uiPriority w:val="0"/>
    <w:rPr>
      <w:color w:val="888888"/>
    </w:rPr>
  </w:style>
  <w:style w:type="character" w:customStyle="1" w:styleId="18">
    <w:name w:val="gjfg"/>
    <w:basedOn w:val="10"/>
    <w:qFormat/>
    <w:uiPriority w:val="0"/>
  </w:style>
  <w:style w:type="character" w:customStyle="1" w:styleId="19">
    <w:name w:val="prev"/>
    <w:basedOn w:val="10"/>
    <w:qFormat/>
    <w:uiPriority w:val="0"/>
    <w:rPr>
      <w:rFonts w:hint="eastAsia" w:ascii="微软雅黑" w:hAnsi="微软雅黑" w:eastAsia="微软雅黑" w:cs="微软雅黑"/>
      <w:sz w:val="21"/>
      <w:szCs w:val="21"/>
    </w:rPr>
  </w:style>
  <w:style w:type="character" w:customStyle="1" w:styleId="20">
    <w:name w:val="prev1"/>
    <w:basedOn w:val="10"/>
    <w:qFormat/>
    <w:uiPriority w:val="0"/>
    <w:rPr>
      <w:color w:val="888888"/>
    </w:rPr>
  </w:style>
  <w:style w:type="character" w:customStyle="1" w:styleId="21">
    <w:name w:val="displayarti"/>
    <w:basedOn w:val="10"/>
    <w:qFormat/>
    <w:uiPriority w:val="0"/>
    <w:rPr>
      <w:color w:val="FFFFFF"/>
      <w:shd w:val="clear" w:fill="A00000"/>
    </w:rPr>
  </w:style>
  <w:style w:type="character" w:customStyle="1" w:styleId="22">
    <w:name w:val="cfdate"/>
    <w:basedOn w:val="10"/>
    <w:qFormat/>
    <w:uiPriority w:val="0"/>
    <w:rPr>
      <w:color w:val="333333"/>
      <w:sz w:val="18"/>
      <w:szCs w:val="18"/>
    </w:rPr>
  </w:style>
  <w:style w:type="character" w:customStyle="1" w:styleId="23">
    <w:name w:val="redfilefwwh"/>
    <w:basedOn w:val="10"/>
    <w:qFormat/>
    <w:uiPriority w:val="0"/>
    <w:rPr>
      <w:color w:val="BA2636"/>
      <w:sz w:val="18"/>
      <w:szCs w:val="18"/>
    </w:rPr>
  </w:style>
  <w:style w:type="character" w:customStyle="1" w:styleId="24">
    <w:name w:val="redfilenumber"/>
    <w:basedOn w:val="10"/>
    <w:qFormat/>
    <w:uiPriority w:val="0"/>
    <w:rPr>
      <w:color w:val="BA2636"/>
      <w:sz w:val="18"/>
      <w:szCs w:val="18"/>
    </w:rPr>
  </w:style>
  <w:style w:type="character" w:customStyle="1" w:styleId="25">
    <w:name w:val="next2"/>
    <w:basedOn w:val="10"/>
    <w:qFormat/>
    <w:uiPriority w:val="0"/>
    <w:rPr>
      <w:rFonts w:hint="eastAsia" w:ascii="微软雅黑" w:hAnsi="微软雅黑" w:eastAsia="微软雅黑" w:cs="微软雅黑"/>
      <w:sz w:val="21"/>
      <w:szCs w:val="21"/>
    </w:rPr>
  </w:style>
  <w:style w:type="character" w:customStyle="1" w:styleId="26">
    <w:name w:val="next3"/>
    <w:basedOn w:val="10"/>
    <w:qFormat/>
    <w:uiPriority w:val="0"/>
    <w:rPr>
      <w:color w:val="888888"/>
    </w:rPr>
  </w:style>
  <w:style w:type="paragraph" w:customStyle="1" w:styleId="27">
    <w:name w:val="_Style 3"/>
    <w:basedOn w:val="1"/>
    <w:next w:val="7"/>
    <w:qFormat/>
    <w:uiPriority w:val="0"/>
    <w:pPr>
      <w:autoSpaceDE/>
      <w:autoSpaceDN/>
      <w:adjustRightInd/>
      <w:ind w:firstLine="420" w:firstLineChars="200"/>
      <w:jc w:val="both"/>
    </w:pPr>
    <w:rPr>
      <w:rFonts w:ascii="Calibri" w:hAnsi="Calibri" w:eastAsia="Calibri" w:cs="Times New Roman"/>
      <w:kern w:val="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10842</Words>
  <Characters>11196</Characters>
  <Lines>0</Lines>
  <Paragraphs>0</Paragraphs>
  <TotalTime>24</TotalTime>
  <ScaleCrop>false</ScaleCrop>
  <LinksUpToDate>false</LinksUpToDate>
  <CharactersWithSpaces>11196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2024-12-31T06:12:00Z</dcterms:created>
  <dc:creator>admin</dc:creator>
  <cp:lastModifiedBy>bei</cp:lastModifiedBy>
  <dcterms:modified xsi:type="dcterms:W3CDTF">2025-06-23T06:18:52Z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eyJoZGlkIjoiZGQ2ZGE4YmEzYmM4MDY5MzgyYzdhODA5YWVmYWJiZmYiLCJ1c2VySWQiOiIyNTM5NTg3MTEifQ==</vt:lpwstr>
  </property>
  <property fmtid="{D5CDD505-2E9C-101B-9397-08002B2CF9AE}" pid="4" name="ICV">
    <vt:lpwstr>F92F3D8DAC134299B2B7DFFF94A7BC12_13</vt:lpwstr>
  </property>
</Properties>
</file>