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70E2928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059D14F1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00E36657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1375DE3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54D4E408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eastAsia="zh-CN"/>
        </w:rPr>
        <w:t>广州市第十二人民医院2025年零星修缮工程</w:t>
      </w:r>
    </w:p>
    <w:p w14:paraId="0221468D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</w:pPr>
    </w:p>
    <w:p w14:paraId="67879E46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市场调研资料</w:t>
      </w:r>
    </w:p>
    <w:p w14:paraId="51CB262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662B2CBE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36E53F57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136DC0B2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3001BEDA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0085EEC8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C1BD02B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1949F8A6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7E2B2649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4BCEB1C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6D3611EA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0BE02E0D">
      <w:pPr>
        <w:pStyle w:val="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p w14:paraId="237F10F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Toc128474408"/>
      <w:bookmarkStart w:id="1" w:name="_Toc28609"/>
      <w:r>
        <w:rPr>
          <w:rFonts w:hint="eastAsia" w:ascii="仿宋" w:hAnsi="仿宋" w:eastAsia="仿宋" w:cs="仿宋"/>
          <w:b/>
          <w:bCs/>
          <w:sz w:val="44"/>
          <w:szCs w:val="44"/>
        </w:rPr>
        <w:t>声 明</w:t>
      </w:r>
      <w:bookmarkEnd w:id="0"/>
      <w:bookmarkEnd w:id="1"/>
    </w:p>
    <w:p w14:paraId="579A3459">
      <w:pPr>
        <w:rPr>
          <w:rFonts w:hint="eastAsia" w:ascii="仿宋" w:hAnsi="仿宋" w:eastAsia="仿宋" w:cs="仿宋"/>
        </w:rPr>
      </w:pPr>
    </w:p>
    <w:p w14:paraId="2AD1103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1.本次调研仅作为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</w:rPr>
        <w:t>编制采购需求的参考，参与本次调研并不代表取得订单。</w:t>
      </w:r>
    </w:p>
    <w:p w14:paraId="15805B4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2.本次调研的项目需求为本项目的初步需求，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</w:rPr>
        <w:t>可视调研情况进行调整。</w:t>
      </w:r>
    </w:p>
    <w:p w14:paraId="6DF5DFE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3.本项目严禁各供应商进行恶意串通、恶意竞争或其它违规行为，一经查实，将上报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BE2C6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4.供应商需为本次调研提交的所有资料真实性负责。</w:t>
      </w:r>
    </w:p>
    <w:p w14:paraId="4DBC875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5.供应商提供的所有调研材料，均需加盖公章。</w:t>
      </w:r>
    </w:p>
    <w:p w14:paraId="3A2F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p w14:paraId="53829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2" w:name="_Toc31916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一、营业执照及本项目可能涉及到的相关</w:t>
      </w:r>
      <w:bookmarkEnd w:id="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资质证书</w:t>
      </w:r>
    </w:p>
    <w:p w14:paraId="76395F22">
      <w:pPr>
        <w:pStyle w:val="9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mallCaps w:val="0"/>
          <w:spacing w:val="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（一）营业执照</w:t>
      </w:r>
      <w:r>
        <w:rPr>
          <w:rFonts w:hint="eastAsia" w:ascii="宋体" w:hAnsi="宋体" w:eastAsia="宋体" w:cs="宋体"/>
          <w:b w:val="0"/>
          <w:bCs/>
          <w:smallCaps w:val="0"/>
          <w:spacing w:val="10"/>
          <w:sz w:val="24"/>
          <w:szCs w:val="24"/>
        </w:rPr>
        <w:t>复印件</w:t>
      </w:r>
    </w:p>
    <w:p w14:paraId="09B0B3F7">
      <w:pPr>
        <w:spacing w:line="360" w:lineRule="auto"/>
        <w:rPr>
          <w:rFonts w:hint="eastAsia"/>
          <w:sz w:val="24"/>
          <w:szCs w:val="24"/>
        </w:rPr>
      </w:pPr>
    </w:p>
    <w:p w14:paraId="17C18C78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napToGrid w:val="0"/>
          <w:color w:val="000000"/>
          <w:spacing w:val="-1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11"/>
          <w:sz w:val="24"/>
          <w:szCs w:val="24"/>
          <w:lang w:val="en-US" w:eastAsia="zh-CN" w:bidi="ar-SA"/>
        </w:rPr>
        <w:t>（二）企业与本项目相关的资质认证证书（请后附证书复印件）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14"/>
        <w:gridCol w:w="2866"/>
        <w:gridCol w:w="2430"/>
      </w:tblGrid>
      <w:tr w14:paraId="13BE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 w14:paraId="5F00149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5" w:type="pct"/>
            <w:vAlign w:val="center"/>
          </w:tcPr>
          <w:p w14:paraId="44151DF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639" w:type="pct"/>
            <w:vAlign w:val="center"/>
          </w:tcPr>
          <w:p w14:paraId="7B98D2A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1389" w:type="pct"/>
            <w:vAlign w:val="center"/>
          </w:tcPr>
          <w:p w14:paraId="7B8775E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2C5C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 w14:paraId="7B11900F">
            <w:pPr>
              <w:widowControl w:val="0"/>
              <w:numPr>
                <w:ilvl w:val="0"/>
                <w:numId w:val="2"/>
              </w:numPr>
              <w:spacing w:line="360" w:lineRule="auto"/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pct"/>
            <w:vAlign w:val="center"/>
          </w:tcPr>
          <w:p w14:paraId="63A154E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9" w:type="pct"/>
            <w:vAlign w:val="center"/>
          </w:tcPr>
          <w:p w14:paraId="0D666CC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pct"/>
            <w:vAlign w:val="center"/>
          </w:tcPr>
          <w:p w14:paraId="19BBAD8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8B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Align w:val="center"/>
          </w:tcPr>
          <w:p w14:paraId="20FF567B">
            <w:pPr>
              <w:widowControl w:val="0"/>
              <w:numPr>
                <w:ilvl w:val="0"/>
                <w:numId w:val="2"/>
              </w:numPr>
              <w:spacing w:line="360" w:lineRule="auto"/>
              <w:ind w:left="454" w:leftChars="0" w:hanging="454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pct"/>
            <w:vAlign w:val="center"/>
          </w:tcPr>
          <w:p w14:paraId="411F37E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9" w:type="pct"/>
            <w:vAlign w:val="center"/>
          </w:tcPr>
          <w:p w14:paraId="65EACCD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pct"/>
            <w:vAlign w:val="center"/>
          </w:tcPr>
          <w:p w14:paraId="34C62F9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9828A1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D8F127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3" w:name="_Toc15388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p w14:paraId="04B39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二、公司介绍及服务优势</w:t>
      </w:r>
    </w:p>
    <w:p w14:paraId="3480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CD9E32E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bookmarkEnd w:id="3"/>
    <w:p w14:paraId="7874F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4" w:name="_Toc27508"/>
      <w:bookmarkStart w:id="5" w:name="_Toc9157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三、</w:t>
      </w:r>
      <w:bookmarkEnd w:id="4"/>
      <w:bookmarkEnd w:id="5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同类采购项目历史成交信息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195"/>
        <w:gridCol w:w="1612"/>
        <w:gridCol w:w="1521"/>
        <w:gridCol w:w="1434"/>
        <w:gridCol w:w="1339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6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922" w:type="pct"/>
            <w:vAlign w:val="center"/>
          </w:tcPr>
          <w:p w14:paraId="39FF53CA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采购单位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中标价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服务年限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6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6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6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11478D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C705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近三年医院零星维修修缮业绩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，提供不少于三个即可（可优先提供广东省内的业绩证明）。后附中标通知书或合同关键页或结果公告截图。</w:t>
      </w:r>
      <w:r>
        <w:rPr>
          <w:rFonts w:hint="eastAsia" w:ascii="宋体" w:hAnsi="宋体" w:eastAsia="宋体" w:cs="宋体"/>
          <w:sz w:val="24"/>
          <w:szCs w:val="24"/>
        </w:rPr>
        <w:t>如中标价为下浮率/折扣率，请一并写明，需加盖公章。</w:t>
      </w:r>
    </w:p>
    <w:p w14:paraId="2945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p w14:paraId="4BC9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6" w:name="_Toc14259"/>
      <w:bookmarkStart w:id="7" w:name="_Toc874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四、项目报价情况</w:t>
      </w:r>
    </w:p>
    <w:tbl>
      <w:tblPr>
        <w:tblStyle w:val="11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0"/>
        <w:gridCol w:w="3434"/>
      </w:tblGrid>
      <w:tr w14:paraId="6FFBC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36" w:type="pct"/>
            <w:noWrap w:val="0"/>
            <w:vAlign w:val="center"/>
          </w:tcPr>
          <w:p w14:paraId="1C2682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63" w:type="pct"/>
            <w:noWrap w:val="0"/>
            <w:vAlign w:val="center"/>
          </w:tcPr>
          <w:p w14:paraId="042E2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报价下浮率/%</w:t>
            </w:r>
          </w:p>
        </w:tc>
      </w:tr>
      <w:tr w14:paraId="1C91D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036" w:type="pct"/>
            <w:noWrap w:val="0"/>
            <w:vAlign w:val="center"/>
          </w:tcPr>
          <w:p w14:paraId="125D3C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广州市第十二人民医院2025年零星修缮工程</w:t>
            </w:r>
          </w:p>
        </w:tc>
        <w:tc>
          <w:tcPr>
            <w:tcW w:w="1963" w:type="pct"/>
            <w:noWrap w:val="0"/>
            <w:vAlign w:val="center"/>
          </w:tcPr>
          <w:p w14:paraId="074C3F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64AE160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备注：</w:t>
      </w:r>
      <w:bookmarkStart w:id="9" w:name="_GoBack"/>
      <w:bookmarkEnd w:id="9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报价的小数点后保留2位有效数。</w:t>
      </w:r>
    </w:p>
    <w:p w14:paraId="5A5AB28F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05094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五、供应商参与采购需求调查的声明函</w:t>
      </w:r>
      <w:bookmarkEnd w:id="6"/>
      <w:bookmarkEnd w:id="7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广州市第十二人民医院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本次调研仅作为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编制采购需求的参考，参与本次调研并不代表取得订单。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用户需求》</w:t>
      </w:r>
      <w:r>
        <w:rPr>
          <w:rFonts w:hint="eastAsia" w:ascii="宋体" w:hAnsi="宋体" w:eastAsia="宋体" w:cs="宋体"/>
          <w:sz w:val="24"/>
          <w:szCs w:val="24"/>
        </w:rPr>
        <w:t>，准确提炼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本次调研的项目需求为本项目的初步需求，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可视调研情况进行调整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</w:rPr>
        <w:t>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1F45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7D20A159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br w:type="page"/>
      </w:r>
    </w:p>
    <w:p w14:paraId="18618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8" w:name="_Toc1813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六、调研意见、建议反馈表</w:t>
      </w:r>
      <w:bookmarkEnd w:id="8"/>
    </w:p>
    <w:tbl>
      <w:tblPr>
        <w:tblStyle w:val="11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75"/>
      </w:tblGrid>
      <w:tr w14:paraId="245B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93D1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eastAsia" w:ascii="宋体" w:hAnsi="宋体" w:eastAsia="宋体" w:cs="宋体"/>
                <w:b/>
                <w:snapToGrid/>
                <w:sz w:val="24"/>
                <w:szCs w:val="24"/>
              </w:rPr>
              <w:t>调研问卷表</w:t>
            </w:r>
          </w:p>
        </w:tc>
      </w:tr>
      <w:tr w14:paraId="1ED6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4C8FF58E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项目名称</w:t>
            </w:r>
          </w:p>
        </w:tc>
        <w:tc>
          <w:tcPr>
            <w:tcW w:w="7075" w:type="dxa"/>
            <w:vAlign w:val="center"/>
          </w:tcPr>
          <w:p w14:paraId="6C92A944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广州市第十二人民医院2025年零星修缮工程</w:t>
            </w:r>
          </w:p>
        </w:tc>
      </w:tr>
      <w:tr w14:paraId="63EF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74AD32AD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单位名称</w:t>
            </w:r>
          </w:p>
        </w:tc>
        <w:tc>
          <w:tcPr>
            <w:tcW w:w="7075" w:type="dxa"/>
            <w:vAlign w:val="center"/>
          </w:tcPr>
          <w:p w14:paraId="19F68D75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</w:tr>
      <w:tr w14:paraId="7991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vAlign w:val="center"/>
          </w:tcPr>
          <w:p w14:paraId="38D76A75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项目联系人</w:t>
            </w:r>
          </w:p>
        </w:tc>
        <w:tc>
          <w:tcPr>
            <w:tcW w:w="7075" w:type="dxa"/>
            <w:vAlign w:val="center"/>
          </w:tcPr>
          <w:p w14:paraId="60B951A0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</w:tr>
      <w:tr w14:paraId="7F57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47" w:type="dxa"/>
            <w:tcBorders>
              <w:bottom w:val="single" w:color="000000" w:sz="4" w:space="0"/>
            </w:tcBorders>
            <w:vAlign w:val="center"/>
          </w:tcPr>
          <w:p w14:paraId="667E2A1A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联系方式</w:t>
            </w:r>
          </w:p>
        </w:tc>
        <w:tc>
          <w:tcPr>
            <w:tcW w:w="7075" w:type="dxa"/>
            <w:tcBorders>
              <w:bottom w:val="single" w:color="000000" w:sz="4" w:space="0"/>
            </w:tcBorders>
            <w:vAlign w:val="center"/>
          </w:tcPr>
          <w:p w14:paraId="307EDE3D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</w:tc>
      </w:tr>
      <w:tr w14:paraId="1C224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D440">
            <w:pPr>
              <w:kinsoku/>
              <w:autoSpaceDE/>
              <w:autoSpaceDN/>
              <w:spacing w:before="120" w:beforeLines="50" w:after="120" w:afterLines="50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调 研 内 容</w:t>
            </w:r>
          </w:p>
        </w:tc>
      </w:tr>
      <w:tr w14:paraId="127F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4" w:hRule="atLeast"/>
        </w:trPr>
        <w:tc>
          <w:tcPr>
            <w:tcW w:w="8522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D01EA25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本项目“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需求”是否具有倾向性？如有，该如何修改加以避免？</w:t>
            </w:r>
          </w:p>
          <w:p w14:paraId="43E840BA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  <w:p w14:paraId="784E5D74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2、本项目所处行业的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产业发展情况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。</w:t>
            </w:r>
          </w:p>
          <w:p w14:paraId="0467EF79">
            <w:pPr>
              <w:numPr>
                <w:ilvl w:val="0"/>
                <w:numId w:val="0"/>
              </w:num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  <w:p w14:paraId="48BF8B50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3、本项目所处行业的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市场供给情况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。</w:t>
            </w:r>
          </w:p>
          <w:p w14:paraId="1441DC4C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  <w:p w14:paraId="4701B278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供应商认为需要提交的建议（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val="en-US" w:eastAsia="zh-CN"/>
              </w:rPr>
              <w:t>认为用户需求中不合理的地方，以及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>可能涉及的服务要求、管理方案、品质管控等其他相关情况。）</w:t>
            </w:r>
          </w:p>
          <w:p w14:paraId="4541D447">
            <w:pPr>
              <w:kinsoku/>
              <w:autoSpaceDE/>
              <w:autoSpaceDN/>
              <w:spacing w:after="200" w:line="360" w:lineRule="auto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</w:p>
          <w:p w14:paraId="09EA5E9A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 xml:space="preserve">填报日期：                             </w:t>
            </w:r>
          </w:p>
          <w:p w14:paraId="62ACC89E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 xml:space="preserve">项目联系人签字：                            </w:t>
            </w:r>
          </w:p>
          <w:p w14:paraId="47E84216">
            <w:pPr>
              <w:kinsoku/>
              <w:wordWrap w:val="0"/>
              <w:autoSpaceDE/>
              <w:autoSpaceDN/>
              <w:spacing w:after="200" w:line="276" w:lineRule="auto"/>
              <w:jc w:val="right"/>
              <w:textAlignment w:val="auto"/>
              <w:rPr>
                <w:rFonts w:hint="eastAsia" w:ascii="宋体" w:hAnsi="宋体" w:eastAsia="宋体" w:cs="宋体"/>
                <w:snapToGrid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</w:rPr>
              <w:t xml:space="preserve">供应商名称（加盖公章）：                           </w:t>
            </w:r>
          </w:p>
        </w:tc>
      </w:tr>
    </w:tbl>
    <w:p w14:paraId="2B91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286103F"/>
    <w:rsid w:val="051354F0"/>
    <w:rsid w:val="10BD6140"/>
    <w:rsid w:val="13FD30D3"/>
    <w:rsid w:val="16F52567"/>
    <w:rsid w:val="174401A2"/>
    <w:rsid w:val="197233CD"/>
    <w:rsid w:val="1F637726"/>
    <w:rsid w:val="20A27EC4"/>
    <w:rsid w:val="28382D12"/>
    <w:rsid w:val="2AA22A17"/>
    <w:rsid w:val="2E7223AC"/>
    <w:rsid w:val="378000F3"/>
    <w:rsid w:val="3B421663"/>
    <w:rsid w:val="3BBC3C70"/>
    <w:rsid w:val="3DEE2873"/>
    <w:rsid w:val="3F67605C"/>
    <w:rsid w:val="413E2AC3"/>
    <w:rsid w:val="42371312"/>
    <w:rsid w:val="485601BC"/>
    <w:rsid w:val="48904B42"/>
    <w:rsid w:val="52AF7596"/>
    <w:rsid w:val="55D12128"/>
    <w:rsid w:val="5FED2A77"/>
    <w:rsid w:val="644C2FB6"/>
    <w:rsid w:val="69514D60"/>
    <w:rsid w:val="6A224243"/>
    <w:rsid w:val="6C822D8D"/>
    <w:rsid w:val="6D3B3A5A"/>
    <w:rsid w:val="71E556C6"/>
    <w:rsid w:val="74A754ED"/>
    <w:rsid w:val="7AB1102E"/>
    <w:rsid w:val="7BD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19">
    <w:name w:val="_Style 3"/>
    <w:qFormat/>
    <w:uiPriority w:val="0"/>
    <w:pPr>
      <w:widowControl w:val="0"/>
      <w:autoSpaceDE w:val="0"/>
      <w:autoSpaceDN w:val="0"/>
      <w:adjustRightInd w:val="0"/>
      <w:ind w:firstLine="420" w:firstLineChars="200"/>
    </w:pPr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1217</Words>
  <Characters>1238</Characters>
  <Lines>0</Lines>
  <Paragraphs>0</Paragraphs>
  <TotalTime>2</TotalTime>
  <ScaleCrop>false</ScaleCrop>
  <LinksUpToDate>false</LinksUpToDate>
  <CharactersWithSpaces>1404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2024-11-01T06:03:09Z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0C7CF858300443A5BAE929D32EA92D2B_13</vt:lpwstr>
  </property>
</Properties>
</file>