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</w:rPr>
      </w:pPr>
    </w:p>
    <w:p>
      <w:pPr>
        <w:pStyle w:val="6"/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color w:val="auto"/>
          <w:sz w:val="72"/>
          <w:szCs w:val="44"/>
        </w:rPr>
      </w:pPr>
      <w:r>
        <w:rPr>
          <w:rFonts w:hint="eastAsia" w:ascii="宋体" w:hAnsi="宋体" w:eastAsia="宋体" w:cs="宋体"/>
          <w:color w:val="auto"/>
          <w:sz w:val="72"/>
          <w:szCs w:val="44"/>
        </w:rPr>
        <w:t>采购需求调查响应文件</w:t>
      </w: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pStyle w:val="7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thick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项目名称: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>连平县中医院搬迁及建设项目医疗设备购置项目</w:t>
      </w:r>
    </w:p>
    <w:p>
      <w:pPr>
        <w:pStyle w:val="7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            </w:t>
      </w:r>
    </w:p>
    <w:p>
      <w:pPr>
        <w:pStyle w:val="7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  </w:t>
      </w:r>
    </w:p>
    <w:p>
      <w:pPr>
        <w:pStyle w:val="8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pStyle w:val="8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pStyle w:val="8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pStyle w:val="8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pStyle w:val="8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p>
      <w:pPr>
        <w:pStyle w:val="8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供应商名称：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               </w:t>
      </w:r>
    </w:p>
    <w:p>
      <w:pPr>
        <w:autoSpaceDE w:val="0"/>
        <w:autoSpaceDN w:val="0"/>
        <w:spacing w:line="360" w:lineRule="auto"/>
        <w:ind w:firstLine="1638" w:firstLineChars="512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日      期：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日</w:t>
      </w: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sdt>
      <w:sdtP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hint="eastAsia" w:ascii="宋体" w:hAnsi="宋体" w:eastAsia="宋体" w:cs="宋体"/>
              <w:b/>
              <w:bCs/>
              <w:color w:val="auto"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sz w:val="28"/>
              <w:szCs w:val="28"/>
            </w:rPr>
            <w:t>目 录</w:t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_Toc23675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一、响应供应商资质文件</w:t>
          </w:r>
          <w:bookmarkStart w:id="9" w:name="_GoBack"/>
          <w:bookmarkEnd w:id="9"/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_Toc23675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- 1 -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_Toc7512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二、产品价格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_Toc7512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- 2 -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_Toc14051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三、产品资质文件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_Toc14051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- 3 -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_Toc7953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四、产品的详细技术参数（含产品配置清单）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_Toc7953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- 4 -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_Toc11404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五、相关产业发展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_Toc11404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- 5 -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_Toc17596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六、市场供给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_Toc17596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- 6 -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_Toc16951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七、同类采购项目历史成交信息（如有）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_Toc16951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- 7 -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_Toc8146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lang w:val="en-US" w:eastAsia="zh-CN"/>
            </w:rPr>
            <w:t>八、</w:t>
          </w:r>
          <w:r>
            <w:rPr>
              <w:rFonts w:hint="eastAsia" w:ascii="宋体" w:hAnsi="宋体" w:eastAsia="宋体" w:cs="宋体"/>
              <w:color w:val="auto"/>
            </w:rPr>
            <w:t>后续采购情况：可能涉及的运行维护、升级更新、备品备件、耗材等情况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_Toc8146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- 8 -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980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color w:val="auto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HYPERLINK \l _Toc19534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九、其他（如厂家及产品文件、彩页等）</w:t>
          </w:r>
          <w:r>
            <w:rPr>
              <w:rFonts w:hint="eastAsia" w:ascii="宋体" w:hAnsi="宋体" w:eastAsia="宋体" w:cs="宋体"/>
              <w:color w:val="auto"/>
            </w:rPr>
            <w:tab/>
          </w:r>
          <w:r>
            <w:rPr>
              <w:rFonts w:hint="eastAsia" w:ascii="宋体" w:hAnsi="宋体" w:eastAsia="宋体" w:cs="宋体"/>
              <w:color w:val="auto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</w:rPr>
            <w:instrText xml:space="preserve"> PAGEREF _Toc19534 \h </w:instrText>
          </w:r>
          <w:r>
            <w:rPr>
              <w:rFonts w:hint="eastAsia" w:ascii="宋体" w:hAnsi="宋体" w:eastAsia="宋体" w:cs="宋体"/>
              <w:color w:val="auto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</w:rPr>
            <w:t>- 9 -</w:t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9070"/>
            </w:tabs>
            <w:spacing w:line="240" w:lineRule="auto"/>
            <w:ind w:firstLine="0" w:firstLineChars="0"/>
            <w:rPr>
              <w:rFonts w:hint="eastAsia" w:ascii="宋体" w:hAnsi="宋体" w:eastAsia="宋体" w:cs="宋体"/>
              <w:color w:val="auto"/>
              <w:sz w:val="10"/>
              <w:szCs w:val="10"/>
            </w:rPr>
          </w:pPr>
          <w:r>
            <w:rPr>
              <w:rFonts w:hint="eastAsia" w:ascii="宋体" w:hAnsi="宋体" w:eastAsia="宋体" w:cs="宋体"/>
              <w:color w:val="auto"/>
            </w:rPr>
            <w:fldChar w:fldCharType="end"/>
          </w:r>
        </w:p>
      </w:sdtContent>
    </w:sdt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备注：</w:t>
      </w:r>
    </w:p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1.供应商认为有必要提交的其他文件可自行增加，以上采购需求调查资料提交时须严格按照要求提供，否则作无效响应处理。</w:t>
      </w:r>
    </w:p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  <w:sectPr>
          <w:pgSz w:w="11906" w:h="16838"/>
          <w:pgMar w:top="1440" w:right="1463" w:bottom="1440" w:left="146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</w:rPr>
        <w:t>2.采购需求调查响应文件须提供纸质版一式二份(每页加盖供应商公章以及骑缝章，并装订成册)，电子版一份（可编辑的W</w:t>
      </w:r>
      <w:r>
        <w:rPr>
          <w:rFonts w:hint="eastAsia" w:ascii="宋体" w:hAnsi="宋体" w:eastAsia="宋体" w:cs="宋体"/>
          <w:color w:val="auto"/>
          <w:lang w:val="en-US" w:eastAsia="zh-CN"/>
        </w:rPr>
        <w:t>ord</w:t>
      </w:r>
      <w:r>
        <w:rPr>
          <w:rFonts w:hint="eastAsia" w:ascii="宋体" w:hAnsi="宋体" w:eastAsia="宋体" w:cs="宋体"/>
          <w:color w:val="auto"/>
        </w:rPr>
        <w:t>版)。</w:t>
      </w:r>
    </w:p>
    <w:p>
      <w:pPr>
        <w:pStyle w:val="3"/>
        <w:bidi w:val="0"/>
        <w:spacing w:line="360" w:lineRule="auto"/>
        <w:rPr>
          <w:rFonts w:hint="eastAsia" w:ascii="宋体" w:hAnsi="宋体" w:eastAsia="宋体" w:cs="宋体"/>
          <w:color w:val="auto"/>
        </w:rPr>
      </w:pPr>
      <w:bookmarkStart w:id="0" w:name="_Toc23675"/>
      <w:r>
        <w:rPr>
          <w:rFonts w:hint="eastAsia" w:ascii="宋体" w:hAnsi="宋体" w:eastAsia="宋体" w:cs="宋体"/>
          <w:color w:val="auto"/>
        </w:rPr>
        <w:t>一、响应供应商资质文件</w:t>
      </w:r>
      <w:bookmarkEnd w:id="0"/>
    </w:p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（营业执照、医疗器械生产许可证或经营许可证等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内容、格式自拟）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</w:rPr>
      </w:pP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</w:rPr>
      </w:pP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spacing w:line="360" w:lineRule="auto"/>
        <w:rPr>
          <w:rFonts w:hint="eastAsia" w:ascii="宋体" w:hAnsi="宋体" w:eastAsia="宋体" w:cs="宋体"/>
          <w:color w:val="auto"/>
        </w:rPr>
      </w:pPr>
      <w:bookmarkStart w:id="1" w:name="_Toc7512"/>
      <w:r>
        <w:rPr>
          <w:rFonts w:hint="eastAsia" w:ascii="宋体" w:hAnsi="宋体" w:eastAsia="宋体" w:cs="宋体"/>
          <w:color w:val="auto"/>
        </w:rPr>
        <w:t>二、产品价格</w:t>
      </w:r>
      <w:bookmarkEnd w:id="1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60"/>
        <w:gridCol w:w="1258"/>
        <w:gridCol w:w="1644"/>
        <w:gridCol w:w="978"/>
        <w:gridCol w:w="731"/>
        <w:gridCol w:w="803"/>
        <w:gridCol w:w="835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注册证产品名称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规格/型号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制造商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7"/>
        <w:spacing w:line="240" w:lineRule="auto"/>
        <w:rPr>
          <w:rFonts w:hint="eastAsia" w:ascii="宋体" w:hAnsi="宋体" w:eastAsia="宋体" w:cs="宋体"/>
          <w:color w:val="auto"/>
          <w:sz w:val="11"/>
          <w:szCs w:val="11"/>
        </w:rPr>
      </w:pPr>
    </w:p>
    <w:p>
      <w:pPr>
        <w:pStyle w:val="27"/>
        <w:spacing w:line="24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1.供应商须列明设备清单并进行详细报价。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3.价格单位为人民币。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（加盖公章）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日期：2023年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日</w:t>
      </w:r>
    </w:p>
    <w:p>
      <w:pPr>
        <w:ind w:firstLine="482"/>
        <w:rPr>
          <w:rFonts w:hint="eastAsia" w:ascii="宋体" w:hAnsi="宋体" w:eastAsia="宋体" w:cs="宋体"/>
          <w:b/>
          <w:bCs/>
          <w:color w:val="auto"/>
        </w:rPr>
      </w:pPr>
    </w:p>
    <w:p>
      <w:pPr>
        <w:ind w:firstLine="482"/>
        <w:rPr>
          <w:rFonts w:hint="eastAsia" w:ascii="宋体" w:hAnsi="宋体" w:eastAsia="宋体" w:cs="宋体"/>
          <w:b/>
          <w:bCs/>
          <w:color w:val="auto"/>
        </w:rPr>
      </w:pP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2" w:name="_Toc14051"/>
      <w:r>
        <w:rPr>
          <w:rFonts w:hint="eastAsia" w:ascii="宋体" w:hAnsi="宋体" w:eastAsia="宋体" w:cs="宋体"/>
          <w:color w:val="auto"/>
        </w:rPr>
        <w:t>三、产品资质文件</w:t>
      </w:r>
      <w:bookmarkEnd w:id="2"/>
    </w:p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注：如果产品隶属医疗器械管理的，须提供产品的医疗器械注册证或医疗器械备案凭证。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3" w:name="_Toc7953"/>
      <w:r>
        <w:rPr>
          <w:rFonts w:hint="eastAsia" w:ascii="宋体" w:hAnsi="宋体" w:eastAsia="宋体" w:cs="宋体"/>
          <w:color w:val="auto"/>
        </w:rPr>
        <w:t>四、产品的详细技术参数（含产品配置清单）</w:t>
      </w:r>
      <w:bookmarkEnd w:id="3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6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详细的技术参数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（型号）</w:t>
            </w:r>
          </w:p>
        </w:tc>
        <w:tc>
          <w:tcPr>
            <w:tcW w:w="68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6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注：产品的详细技术参数需为可直接复制版，不得采用插入图片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技术参数，否则将作无效响应处理。</w:t>
      </w: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4" w:name="_Toc11404"/>
      <w:r>
        <w:rPr>
          <w:rFonts w:hint="eastAsia" w:ascii="宋体" w:hAnsi="宋体" w:eastAsia="宋体" w:cs="宋体"/>
          <w:color w:val="auto"/>
        </w:rPr>
        <w:t>五、相关产业发展</w:t>
      </w:r>
      <w:bookmarkEnd w:id="4"/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1.现有产品的技术路线、工艺水平、技术水平或行业的发展历程、行业现状等：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2.可能涉及的企业资质、人员资质：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3.涉及的相关标准和规范：</w:t>
      </w:r>
    </w:p>
    <w:p>
      <w:pPr>
        <w:ind w:firstLine="480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bookmarkStart w:id="5" w:name="_Toc17596"/>
      <w:r>
        <w:rPr>
          <w:rFonts w:hint="eastAsia" w:ascii="宋体" w:hAnsi="宋体" w:eastAsia="宋体" w:cs="宋体"/>
          <w:color w:val="auto"/>
        </w:rPr>
        <w:t>六、市场供给</w:t>
      </w:r>
      <w:bookmarkEnd w:id="5"/>
      <w:r>
        <w:rPr>
          <w:rFonts w:hint="eastAsia" w:ascii="宋体" w:hAnsi="宋体" w:eastAsia="宋体" w:cs="宋体"/>
          <w:color w:val="auto"/>
          <w:lang w:val="en-US" w:eastAsia="zh-CN"/>
        </w:rPr>
        <w:t>情况</w:t>
      </w: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1.市场竞争程度：</w:t>
      </w: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价格水平或价格构成：</w:t>
      </w: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bidi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3.潜在供应商的数量、履约能力、售后服务能力：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6" w:name="_Toc16951"/>
      <w:r>
        <w:rPr>
          <w:rFonts w:hint="eastAsia" w:ascii="宋体" w:hAnsi="宋体" w:eastAsia="宋体" w:cs="宋体"/>
          <w:color w:val="auto"/>
        </w:rPr>
        <w:t>七、同类采购项目历史成交信息（如有）</w:t>
      </w:r>
      <w:bookmarkEnd w:id="6"/>
    </w:p>
    <w:tbl>
      <w:tblPr>
        <w:tblStyle w:val="15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46"/>
        <w:gridCol w:w="1326"/>
        <w:gridCol w:w="1243"/>
        <w:gridCol w:w="1034"/>
        <w:gridCol w:w="1023"/>
        <w:gridCol w:w="123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9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W w:w="104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中标人</w:t>
            </w:r>
          </w:p>
        </w:tc>
        <w:tc>
          <w:tcPr>
            <w:tcW w:w="102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中标价</w:t>
            </w:r>
          </w:p>
        </w:tc>
        <w:tc>
          <w:tcPr>
            <w:tcW w:w="123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中标品牌</w:t>
            </w:r>
          </w:p>
        </w:tc>
        <w:tc>
          <w:tcPr>
            <w:tcW w:w="1265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9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9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…</w:t>
            </w:r>
          </w:p>
        </w:tc>
        <w:tc>
          <w:tcPr>
            <w:tcW w:w="104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27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备注：相关证明资料附后，如中标通知书，中标公告等。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7" w:name="_Toc8146"/>
      <w:r>
        <w:rPr>
          <w:rFonts w:hint="eastAsia" w:ascii="宋体" w:hAnsi="宋体" w:eastAsia="宋体" w:cs="宋体"/>
          <w:color w:val="auto"/>
          <w:lang w:val="en-US" w:eastAsia="zh-CN"/>
        </w:rPr>
        <w:t>八、</w:t>
      </w:r>
      <w:r>
        <w:rPr>
          <w:rFonts w:hint="eastAsia" w:ascii="宋体" w:hAnsi="宋体" w:eastAsia="宋体" w:cs="宋体"/>
          <w:color w:val="auto"/>
        </w:rPr>
        <w:t>后续采购情况：可能涉及的运行维护、升级更新、备品备件、耗材等情况</w:t>
      </w:r>
      <w:bookmarkEnd w:id="7"/>
    </w:p>
    <w:p>
      <w:pPr>
        <w:pStyle w:val="27"/>
        <w:spacing w:line="240" w:lineRule="auto"/>
        <w:rPr>
          <w:rFonts w:hint="eastAsia" w:ascii="宋体" w:hAnsi="宋体" w:eastAsia="宋体" w:cs="宋体"/>
          <w:color w:val="auto"/>
        </w:rPr>
      </w:pPr>
    </w:p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内容、格式自拟。</w:t>
      </w:r>
    </w:p>
    <w:p>
      <w:pPr>
        <w:pStyle w:val="27"/>
        <w:spacing w:line="360" w:lineRule="auto"/>
        <w:rPr>
          <w:rFonts w:hint="eastAsia" w:ascii="宋体" w:hAnsi="宋体" w:eastAsia="宋体" w:cs="宋体"/>
          <w:color w:val="auto"/>
        </w:rPr>
      </w:pPr>
    </w:p>
    <w:p>
      <w:pPr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3"/>
        <w:bidi w:val="0"/>
        <w:rPr>
          <w:rFonts w:hint="eastAsia" w:ascii="宋体" w:hAnsi="宋体" w:eastAsia="宋体" w:cs="宋体"/>
          <w:color w:val="auto"/>
        </w:rPr>
      </w:pPr>
      <w:bookmarkStart w:id="8" w:name="_Toc19534"/>
      <w:r>
        <w:rPr>
          <w:rFonts w:hint="eastAsia" w:ascii="宋体" w:hAnsi="宋体" w:eastAsia="宋体" w:cs="宋体"/>
          <w:color w:val="auto"/>
        </w:rPr>
        <w:t>九、其他（如厂家及产品文件、彩页等）</w:t>
      </w:r>
      <w:bookmarkEnd w:id="8"/>
    </w:p>
    <w:p>
      <w:pPr>
        <w:pStyle w:val="27"/>
        <w:spacing w:line="240" w:lineRule="auto"/>
        <w:rPr>
          <w:rFonts w:hint="eastAsia" w:ascii="宋体" w:hAnsi="宋体" w:eastAsia="宋体" w:cs="宋体"/>
          <w:color w:val="auto"/>
        </w:rPr>
      </w:pPr>
    </w:p>
    <w:p>
      <w:pPr>
        <w:pStyle w:val="27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内容、格式自拟。</w:t>
      </w:r>
    </w:p>
    <w:p>
      <w:pPr>
        <w:pStyle w:val="27"/>
        <w:rPr>
          <w:rFonts w:hint="eastAsia" w:ascii="宋体" w:hAnsi="宋体" w:eastAsia="宋体" w:cs="宋体"/>
          <w:color w:val="auto"/>
        </w:rPr>
      </w:pPr>
    </w:p>
    <w:p>
      <w:pPr>
        <w:pStyle w:val="6"/>
        <w:rPr>
          <w:rFonts w:hint="eastAsia" w:ascii="宋体" w:hAnsi="宋体" w:eastAsia="宋体" w:cs="宋体"/>
          <w:color w:val="auto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zc2Yjg2MjA3ZTc5ZjFjZGYxNzVlOGFmOTRhZmU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18A58CB"/>
    <w:rsid w:val="01C46997"/>
    <w:rsid w:val="03CA1FAF"/>
    <w:rsid w:val="03DD3666"/>
    <w:rsid w:val="03E33FB9"/>
    <w:rsid w:val="05037796"/>
    <w:rsid w:val="05151950"/>
    <w:rsid w:val="05A827C4"/>
    <w:rsid w:val="061D6D0E"/>
    <w:rsid w:val="065338B0"/>
    <w:rsid w:val="06710E08"/>
    <w:rsid w:val="067508F8"/>
    <w:rsid w:val="06A05249"/>
    <w:rsid w:val="07F25F78"/>
    <w:rsid w:val="08030185"/>
    <w:rsid w:val="0A284AF4"/>
    <w:rsid w:val="0A9E627F"/>
    <w:rsid w:val="0BE81629"/>
    <w:rsid w:val="0CF95BEE"/>
    <w:rsid w:val="0EAF02BA"/>
    <w:rsid w:val="0F0F5662"/>
    <w:rsid w:val="0F9D2C6D"/>
    <w:rsid w:val="0FB32491"/>
    <w:rsid w:val="0FF22FB9"/>
    <w:rsid w:val="12042B30"/>
    <w:rsid w:val="12971BF6"/>
    <w:rsid w:val="12E56E05"/>
    <w:rsid w:val="13772741"/>
    <w:rsid w:val="149208C7"/>
    <w:rsid w:val="14BB7929"/>
    <w:rsid w:val="14FC3F92"/>
    <w:rsid w:val="172A3276"/>
    <w:rsid w:val="17C65E86"/>
    <w:rsid w:val="18E453EE"/>
    <w:rsid w:val="18FC6C57"/>
    <w:rsid w:val="1980513C"/>
    <w:rsid w:val="19AE5C09"/>
    <w:rsid w:val="1A277D03"/>
    <w:rsid w:val="1A314523"/>
    <w:rsid w:val="1A350D84"/>
    <w:rsid w:val="1A9D1D74"/>
    <w:rsid w:val="1B3274A2"/>
    <w:rsid w:val="1B5A4CD4"/>
    <w:rsid w:val="1B6F1962"/>
    <w:rsid w:val="1CBB2985"/>
    <w:rsid w:val="1F032D17"/>
    <w:rsid w:val="1FD40D0E"/>
    <w:rsid w:val="1FEF69B8"/>
    <w:rsid w:val="20856287"/>
    <w:rsid w:val="20D34741"/>
    <w:rsid w:val="216D06F2"/>
    <w:rsid w:val="22205764"/>
    <w:rsid w:val="22A243CB"/>
    <w:rsid w:val="23DA2F5F"/>
    <w:rsid w:val="24EF58C2"/>
    <w:rsid w:val="26307F40"/>
    <w:rsid w:val="26342D65"/>
    <w:rsid w:val="26357304"/>
    <w:rsid w:val="26A60202"/>
    <w:rsid w:val="2A1845F1"/>
    <w:rsid w:val="2B473D61"/>
    <w:rsid w:val="2B5F35AC"/>
    <w:rsid w:val="2BF77448"/>
    <w:rsid w:val="2BFB4B4C"/>
    <w:rsid w:val="2D570C04"/>
    <w:rsid w:val="2DCE2518"/>
    <w:rsid w:val="2EAE40F8"/>
    <w:rsid w:val="2F210D6D"/>
    <w:rsid w:val="2F6D5D61"/>
    <w:rsid w:val="30D56736"/>
    <w:rsid w:val="313A56EF"/>
    <w:rsid w:val="322A7F39"/>
    <w:rsid w:val="331514D2"/>
    <w:rsid w:val="33F96DAC"/>
    <w:rsid w:val="341475FF"/>
    <w:rsid w:val="34F565DC"/>
    <w:rsid w:val="355C167B"/>
    <w:rsid w:val="35794430"/>
    <w:rsid w:val="359F479A"/>
    <w:rsid w:val="366F23BE"/>
    <w:rsid w:val="37591238"/>
    <w:rsid w:val="37734130"/>
    <w:rsid w:val="37C36E66"/>
    <w:rsid w:val="37D70262"/>
    <w:rsid w:val="389D76B7"/>
    <w:rsid w:val="394909D4"/>
    <w:rsid w:val="39A40AC0"/>
    <w:rsid w:val="3A116B43"/>
    <w:rsid w:val="3A96743D"/>
    <w:rsid w:val="3B4C7172"/>
    <w:rsid w:val="3B6C2FD6"/>
    <w:rsid w:val="3B9A612F"/>
    <w:rsid w:val="3BE455FD"/>
    <w:rsid w:val="3C687FDC"/>
    <w:rsid w:val="3C807945"/>
    <w:rsid w:val="3CE162B7"/>
    <w:rsid w:val="3D044B52"/>
    <w:rsid w:val="3D904166"/>
    <w:rsid w:val="3DA13698"/>
    <w:rsid w:val="3DB225E0"/>
    <w:rsid w:val="3E6F5651"/>
    <w:rsid w:val="3EA572C5"/>
    <w:rsid w:val="3F0020F0"/>
    <w:rsid w:val="400E0641"/>
    <w:rsid w:val="403326AF"/>
    <w:rsid w:val="40A368D3"/>
    <w:rsid w:val="40BD0440"/>
    <w:rsid w:val="42604346"/>
    <w:rsid w:val="42935686"/>
    <w:rsid w:val="42DF08CC"/>
    <w:rsid w:val="42EC5DF3"/>
    <w:rsid w:val="436314FD"/>
    <w:rsid w:val="43C26223"/>
    <w:rsid w:val="43C755E8"/>
    <w:rsid w:val="442318B7"/>
    <w:rsid w:val="45684AE6"/>
    <w:rsid w:val="46326F64"/>
    <w:rsid w:val="4698326B"/>
    <w:rsid w:val="47D12ED9"/>
    <w:rsid w:val="48BF71D5"/>
    <w:rsid w:val="490C51A4"/>
    <w:rsid w:val="49192FF1"/>
    <w:rsid w:val="492925F0"/>
    <w:rsid w:val="4B26353C"/>
    <w:rsid w:val="4C073D0C"/>
    <w:rsid w:val="4C806C7C"/>
    <w:rsid w:val="4CD945DE"/>
    <w:rsid w:val="4D7165BE"/>
    <w:rsid w:val="4DAE0A97"/>
    <w:rsid w:val="4E52289A"/>
    <w:rsid w:val="4E575062"/>
    <w:rsid w:val="4ED41501"/>
    <w:rsid w:val="4F624D5E"/>
    <w:rsid w:val="4FB05A0F"/>
    <w:rsid w:val="51DF61F2"/>
    <w:rsid w:val="5245321F"/>
    <w:rsid w:val="52B92EE7"/>
    <w:rsid w:val="536270DB"/>
    <w:rsid w:val="5383696D"/>
    <w:rsid w:val="538B302D"/>
    <w:rsid w:val="55B50507"/>
    <w:rsid w:val="58507E4A"/>
    <w:rsid w:val="596811C3"/>
    <w:rsid w:val="5A8B5169"/>
    <w:rsid w:val="5AF54CD9"/>
    <w:rsid w:val="5B176959"/>
    <w:rsid w:val="5B1D71A9"/>
    <w:rsid w:val="5BEF1A9E"/>
    <w:rsid w:val="5CF74D38"/>
    <w:rsid w:val="5D681792"/>
    <w:rsid w:val="5DEE7A70"/>
    <w:rsid w:val="5E603C90"/>
    <w:rsid w:val="5FCD7FD2"/>
    <w:rsid w:val="6065645C"/>
    <w:rsid w:val="60B30F76"/>
    <w:rsid w:val="61085F3A"/>
    <w:rsid w:val="63145F40"/>
    <w:rsid w:val="64326656"/>
    <w:rsid w:val="64432611"/>
    <w:rsid w:val="649E3188"/>
    <w:rsid w:val="65F10827"/>
    <w:rsid w:val="66215C78"/>
    <w:rsid w:val="66AB26EF"/>
    <w:rsid w:val="66FB3FFB"/>
    <w:rsid w:val="67650AF0"/>
    <w:rsid w:val="677728FD"/>
    <w:rsid w:val="67C779FD"/>
    <w:rsid w:val="67F3434E"/>
    <w:rsid w:val="685272C6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6FD6715B"/>
    <w:rsid w:val="70335C2F"/>
    <w:rsid w:val="709D59AA"/>
    <w:rsid w:val="70B00AAA"/>
    <w:rsid w:val="70D7081C"/>
    <w:rsid w:val="70E77972"/>
    <w:rsid w:val="72C10EF5"/>
    <w:rsid w:val="745919DD"/>
    <w:rsid w:val="756248C1"/>
    <w:rsid w:val="75AF5A07"/>
    <w:rsid w:val="75D141C0"/>
    <w:rsid w:val="768D3BBF"/>
    <w:rsid w:val="7702635B"/>
    <w:rsid w:val="776A6153"/>
    <w:rsid w:val="778873C7"/>
    <w:rsid w:val="77CA6D43"/>
    <w:rsid w:val="780B5731"/>
    <w:rsid w:val="78E24989"/>
    <w:rsid w:val="78E665DE"/>
    <w:rsid w:val="792D3569"/>
    <w:rsid w:val="7A0127B6"/>
    <w:rsid w:val="7A495A5E"/>
    <w:rsid w:val="7A7E7F2D"/>
    <w:rsid w:val="7A886B78"/>
    <w:rsid w:val="7A8E594F"/>
    <w:rsid w:val="7AEB175D"/>
    <w:rsid w:val="7C6E6B8A"/>
    <w:rsid w:val="7D221505"/>
    <w:rsid w:val="7DA656CC"/>
    <w:rsid w:val="7DAE4B47"/>
    <w:rsid w:val="7DDD0724"/>
    <w:rsid w:val="7E0B4B47"/>
    <w:rsid w:val="7EB97C47"/>
    <w:rsid w:val="7F1C3D32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jc w:val="left"/>
      <w:outlineLvl w:val="0"/>
    </w:pPr>
    <w:rPr>
      <w:rFonts w:asciiTheme="minorAscii" w:hAnsiTheme="minorAscii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lang w:val="zh-CN" w:eastAsia="zh-CN" w:bidi="ar-SA"/>
    </w:rPr>
  </w:style>
  <w:style w:type="paragraph" w:styleId="6">
    <w:name w:val="Body Text"/>
    <w:basedOn w:val="1"/>
    <w:link w:val="24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页眉 字符"/>
    <w:basedOn w:val="16"/>
    <w:link w:val="11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21">
    <w:name w:val="页脚 字符"/>
    <w:basedOn w:val="16"/>
    <w:link w:val="10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22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日期 字符"/>
    <w:basedOn w:val="16"/>
    <w:link w:val="9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4">
    <w:name w:val="正文文本 字符"/>
    <w:basedOn w:val="16"/>
    <w:link w:val="6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5">
    <w:name w:val="标题 1 字符"/>
    <w:basedOn w:val="16"/>
    <w:link w:val="3"/>
    <w:qFormat/>
    <w:uiPriority w:val="0"/>
    <w:rPr>
      <w:rFonts w:eastAsia="仿宋" w:asciiTheme="minorAscii" w:hAnsiTheme="minorAscii" w:cstheme="minorBidi"/>
      <w:b/>
      <w:bCs/>
      <w:kern w:val="44"/>
      <w:sz w:val="28"/>
      <w:szCs w:val="44"/>
    </w:rPr>
  </w:style>
  <w:style w:type="character" w:customStyle="1" w:styleId="26">
    <w:name w:val="标题 2 字符"/>
    <w:basedOn w:val="16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7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936</Words>
  <Characters>953</Characters>
  <Lines>12</Lines>
  <Paragraphs>3</Paragraphs>
  <TotalTime>4</TotalTime>
  <ScaleCrop>false</ScaleCrop>
  <LinksUpToDate>false</LinksUpToDate>
  <CharactersWithSpaces>1179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</cp:lastModifiedBy>
  <cp:lastPrinted>2023-08-02T07:10:00Z</cp:lastPrinted>
  <dcterms:modified xsi:type="dcterms:W3CDTF">2023-08-30T10:27:46Z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B2E2AF798F1F4884B14F9252194F4AD2</vt:lpwstr>
  </property>
</Properties>
</file>